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6207FE" w14:textId="0911AFD8" w:rsidR="00797629" w:rsidRPr="000A64D8" w:rsidRDefault="00797629" w:rsidP="00797629">
      <w:pPr>
        <w:tabs>
          <w:tab w:val="right" w:pos="10000"/>
        </w:tabs>
        <w:spacing w:after="0"/>
        <w:rPr>
          <w:rFonts w:ascii="Arial" w:hAnsi="Arial" w:cs="Arial"/>
          <w:b/>
          <w:sz w:val="24"/>
          <w:szCs w:val="24"/>
        </w:rPr>
      </w:pPr>
      <w:bookmarkStart w:id="0" w:name="Source"/>
      <w:bookmarkStart w:id="1" w:name="_GoBack"/>
      <w:bookmarkEnd w:id="0"/>
      <w:bookmarkEnd w:id="1"/>
      <w:r w:rsidRPr="000A64D8">
        <w:rPr>
          <w:rFonts w:ascii="Arial" w:hAnsi="Arial" w:cs="Arial"/>
          <w:b/>
          <w:sz w:val="24"/>
          <w:szCs w:val="24"/>
        </w:rPr>
        <w:t xml:space="preserve">3GPP TSG-RAN WG1 </w:t>
      </w:r>
      <w:r>
        <w:rPr>
          <w:rFonts w:ascii="Arial" w:hAnsi="Arial" w:cs="Arial"/>
          <w:b/>
          <w:noProof/>
          <w:sz w:val="24"/>
          <w:szCs w:val="24"/>
        </w:rPr>
        <w:t>RAN1 NR BIS</w:t>
      </w:r>
      <w:r w:rsidRPr="000A64D8">
        <w:rPr>
          <w:rFonts w:ascii="Arial" w:hAnsi="Arial" w:cs="Arial"/>
          <w:b/>
          <w:sz w:val="24"/>
          <w:szCs w:val="24"/>
        </w:rPr>
        <w:tab/>
      </w:r>
      <w:r>
        <w:rPr>
          <w:rFonts w:ascii="Arial" w:hAnsi="Arial" w:cs="Arial"/>
          <w:b/>
          <w:bCs/>
          <w:sz w:val="24"/>
          <w:szCs w:val="24"/>
        </w:rPr>
        <w:t>R1-</w:t>
      </w:r>
      <w:r w:rsidR="00AF41E1" w:rsidRPr="004B0EEE">
        <w:rPr>
          <w:rFonts w:ascii="Arial" w:hAnsi="Arial" w:cs="Arial"/>
          <w:b/>
          <w:bCs/>
          <w:sz w:val="24"/>
          <w:szCs w:val="24"/>
        </w:rPr>
        <w:t>1</w:t>
      </w:r>
      <w:r w:rsidR="00AF41E1">
        <w:rPr>
          <w:rFonts w:ascii="Arial" w:hAnsi="Arial" w:cs="Arial"/>
          <w:b/>
          <w:bCs/>
          <w:sz w:val="24"/>
          <w:szCs w:val="24"/>
        </w:rPr>
        <w:t>705643</w:t>
      </w:r>
    </w:p>
    <w:p w14:paraId="6DD95C29" w14:textId="77777777" w:rsidR="00797629" w:rsidRPr="00FD021C" w:rsidRDefault="00797629" w:rsidP="00797629">
      <w:pPr>
        <w:tabs>
          <w:tab w:val="right" w:pos="9630"/>
        </w:tabs>
        <w:spacing w:after="0"/>
        <w:rPr>
          <w:rFonts w:ascii="Arial" w:hAnsi="Arial" w:cs="Arial"/>
          <w:b/>
          <w:sz w:val="24"/>
          <w:szCs w:val="24"/>
        </w:rPr>
      </w:pPr>
      <w:r>
        <w:rPr>
          <w:rFonts w:ascii="Arial" w:hAnsi="Arial" w:cs="Arial"/>
          <w:b/>
          <w:sz w:val="24"/>
          <w:szCs w:val="24"/>
        </w:rPr>
        <w:t>April 03</w:t>
      </w:r>
      <w:r w:rsidRPr="00010747">
        <w:rPr>
          <w:rFonts w:ascii="Arial" w:hAnsi="Arial" w:cs="Arial"/>
          <w:b/>
          <w:sz w:val="24"/>
          <w:szCs w:val="24"/>
          <w:vertAlign w:val="superscript"/>
        </w:rPr>
        <w:t>rd</w:t>
      </w:r>
      <w:r>
        <w:rPr>
          <w:rFonts w:ascii="Arial" w:hAnsi="Arial" w:cs="Arial"/>
          <w:b/>
          <w:sz w:val="24"/>
          <w:szCs w:val="24"/>
        </w:rPr>
        <w:t xml:space="preserve"> – 07</w:t>
      </w:r>
      <w:r w:rsidRPr="00010747">
        <w:rPr>
          <w:rFonts w:ascii="Arial" w:hAnsi="Arial" w:cs="Arial"/>
          <w:b/>
          <w:sz w:val="24"/>
          <w:szCs w:val="24"/>
          <w:vertAlign w:val="superscript"/>
        </w:rPr>
        <w:t>th</w:t>
      </w:r>
      <w:r>
        <w:rPr>
          <w:rFonts w:ascii="Arial" w:hAnsi="Arial" w:cs="Arial"/>
          <w:b/>
          <w:sz w:val="24"/>
          <w:szCs w:val="24"/>
        </w:rPr>
        <w:t>, 2017</w:t>
      </w:r>
    </w:p>
    <w:p w14:paraId="46B17646" w14:textId="77777777" w:rsidR="00797629" w:rsidRPr="00FD021C" w:rsidRDefault="00797629" w:rsidP="00797629">
      <w:pPr>
        <w:spacing w:after="0"/>
        <w:rPr>
          <w:rFonts w:ascii="Arial" w:hAnsi="Arial" w:cs="Arial"/>
          <w:b/>
          <w:sz w:val="24"/>
          <w:szCs w:val="24"/>
        </w:rPr>
      </w:pPr>
      <w:r>
        <w:rPr>
          <w:rFonts w:ascii="Arial" w:hAnsi="Arial" w:cs="Arial"/>
          <w:b/>
          <w:sz w:val="24"/>
          <w:szCs w:val="24"/>
        </w:rPr>
        <w:t>Spokane, US</w:t>
      </w:r>
    </w:p>
    <w:p w14:paraId="4607ED07" w14:textId="77777777" w:rsidR="00E769DB" w:rsidRPr="000A64D8" w:rsidRDefault="00E769DB" w:rsidP="00E769DB">
      <w:pPr>
        <w:pStyle w:val="Footer"/>
        <w:jc w:val="left"/>
        <w:rPr>
          <w:noProof w:val="0"/>
        </w:rPr>
      </w:pPr>
    </w:p>
    <w:p w14:paraId="391CF797" w14:textId="6E2F7851"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D09D0">
        <w:rPr>
          <w:rFonts w:ascii="Arial" w:hAnsi="Arial"/>
          <w:sz w:val="24"/>
        </w:rPr>
        <w:t>8.1.8</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69FB1811"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C7125">
        <w:rPr>
          <w:rFonts w:ascii="Arial" w:hAnsi="Arial"/>
          <w:sz w:val="24"/>
        </w:rPr>
        <w:t>NR-LTE</w:t>
      </w:r>
      <w:r w:rsidR="00797629">
        <w:rPr>
          <w:rFonts w:ascii="Arial" w:hAnsi="Arial"/>
          <w:sz w:val="24"/>
        </w:rPr>
        <w:t xml:space="preserve"> Co-channel</w:t>
      </w:r>
      <w:r w:rsidR="004C7125">
        <w:rPr>
          <w:rFonts w:ascii="Arial" w:hAnsi="Arial"/>
          <w:sz w:val="24"/>
        </w:rPr>
        <w:t xml:space="preserve"> Coexistence C</w:t>
      </w:r>
      <w:r w:rsidR="004C7125" w:rsidRPr="004C7125">
        <w:rPr>
          <w:rFonts w:ascii="Arial" w:hAnsi="Arial"/>
          <w:sz w:val="24"/>
        </w:rPr>
        <w:t>onsiderations</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1BED026B" w:rsidR="00E769DB" w:rsidRDefault="00E769DB" w:rsidP="00E769DB">
      <w:pPr>
        <w:rPr>
          <w:szCs w:val="22"/>
        </w:rPr>
      </w:pPr>
      <w:r>
        <w:rPr>
          <w:szCs w:val="22"/>
        </w:rPr>
        <w:t>In the RAN1 #87</w:t>
      </w:r>
      <w:r w:rsidR="008C7658">
        <w:rPr>
          <w:szCs w:val="22"/>
        </w:rPr>
        <w:t>a</w:t>
      </w:r>
      <w:r>
        <w:rPr>
          <w:szCs w:val="22"/>
        </w:rPr>
        <w:t xml:space="preserve"> meeting, NR LTE </w:t>
      </w:r>
      <w:r w:rsidR="00943C61">
        <w:rPr>
          <w:szCs w:val="22"/>
        </w:rPr>
        <w:t>co-channel</w:t>
      </w:r>
      <w:r w:rsidR="00490825">
        <w:rPr>
          <w:szCs w:val="22"/>
        </w:rPr>
        <w:t xml:space="preserve"> </w:t>
      </w:r>
      <w:r>
        <w:rPr>
          <w:szCs w:val="22"/>
        </w:rPr>
        <w:t>coexistence has been discussed with the following agreement</w:t>
      </w:r>
      <w:r w:rsidR="008C7658">
        <w:rPr>
          <w:szCs w:val="22"/>
        </w:rPr>
        <w:t>s</w:t>
      </w:r>
      <w:r w:rsidR="0098592E">
        <w:rPr>
          <w:szCs w:val="22"/>
        </w:rPr>
        <w:t xml:space="preserve"> </w:t>
      </w:r>
      <w:r w:rsidR="0098592E">
        <w:rPr>
          <w:szCs w:val="22"/>
        </w:rPr>
        <w:fldChar w:fldCharType="begin"/>
      </w:r>
      <w:r w:rsidR="0098592E">
        <w:rPr>
          <w:szCs w:val="22"/>
        </w:rPr>
        <w:instrText xml:space="preserve"> REF _Ref478114136 \w \h </w:instrText>
      </w:r>
      <w:r w:rsidR="0098592E">
        <w:rPr>
          <w:szCs w:val="22"/>
        </w:rPr>
      </w:r>
      <w:r w:rsidR="0098592E">
        <w:rPr>
          <w:szCs w:val="22"/>
        </w:rPr>
        <w:fldChar w:fldCharType="separate"/>
      </w:r>
      <w:r w:rsidR="0098592E">
        <w:rPr>
          <w:szCs w:val="22"/>
        </w:rPr>
        <w:t>[1]</w:t>
      </w:r>
      <w:r w:rsidR="0098592E">
        <w:rPr>
          <w:szCs w:val="22"/>
        </w:rPr>
        <w:fldChar w:fldCharType="end"/>
      </w:r>
      <w:r w:rsidR="00490825">
        <w:rPr>
          <w:szCs w:val="22"/>
        </w:rPr>
        <w:t>.</w:t>
      </w:r>
      <w:r w:rsidR="008C7658">
        <w:rPr>
          <w:szCs w:val="22"/>
        </w:rPr>
        <w:t xml:space="preserve"> </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7E354166" w14:textId="77777777" w:rsidR="00490825" w:rsidRPr="007D0342" w:rsidRDefault="00490825" w:rsidP="00490825">
      <w:pPr>
        <w:numPr>
          <w:ilvl w:val="0"/>
          <w:numId w:val="25"/>
        </w:numPr>
        <w:overflowPunct/>
        <w:autoSpaceDE/>
        <w:autoSpaceDN/>
        <w:adjustRightInd/>
        <w:spacing w:after="0"/>
        <w:textAlignment w:val="auto"/>
        <w:rPr>
          <w:rFonts w:eastAsia="MS Mincho"/>
          <w:lang w:eastAsia="ja-JP"/>
        </w:rPr>
      </w:pPr>
      <w:r w:rsidRPr="007D0342">
        <w:rPr>
          <w:rFonts w:eastAsia="MS Mincho"/>
          <w:lang w:eastAsia="ja-JP"/>
        </w:rPr>
        <w:t>LTE-NR co-existence should support the following UL sharing scenarios:</w:t>
      </w:r>
    </w:p>
    <w:p w14:paraId="5C1AECD9" w14:textId="77777777" w:rsidR="00490825" w:rsidRPr="007D0342" w:rsidRDefault="00490825" w:rsidP="00490825">
      <w:pPr>
        <w:numPr>
          <w:ilvl w:val="1"/>
          <w:numId w:val="25"/>
        </w:numPr>
        <w:overflowPunct/>
        <w:autoSpaceDE/>
        <w:autoSpaceDN/>
        <w:adjustRightInd/>
        <w:spacing w:after="0"/>
        <w:textAlignment w:val="auto"/>
        <w:rPr>
          <w:rFonts w:eastAsia="MS Mincho"/>
          <w:lang w:eastAsia="ja-JP"/>
        </w:rPr>
      </w:pPr>
      <w:r w:rsidRPr="007D0342">
        <w:rPr>
          <w:rFonts w:eastAsia="MS Mincho"/>
          <w:lang w:eastAsia="ja-JP"/>
        </w:rPr>
        <w:t>Collocated LTE and NR base stations with network operating UL on frequency F1 where LTE UL and NR UL share UL subframes of LTE</w:t>
      </w:r>
    </w:p>
    <w:p w14:paraId="0FFD3859"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 xml:space="preserve">Detailed sharing on the UL is FFS </w:t>
      </w:r>
    </w:p>
    <w:p w14:paraId="006756F3"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Note: this is not intended to have impact on legacy LTE UEs</w:t>
      </w:r>
    </w:p>
    <w:p w14:paraId="177F46A0"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LTE DL on a paired frequency F3</w:t>
      </w:r>
    </w:p>
    <w:p w14:paraId="08C53143"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NR DL transmission on frequency F2 (different than LTE DL frequency)</w:t>
      </w:r>
    </w:p>
    <w:p w14:paraId="0FFF7D9D"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NR UE operates in either of the following cases based on a common NR design:</w:t>
      </w:r>
    </w:p>
    <w:p w14:paraId="5782A464"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 xml:space="preserve">Standalone NR: UE accesses standalone NR carrier on F2. The UE may not be connected to an LTE carrier (some UE may not even support LTE). </w:t>
      </w:r>
    </w:p>
    <w:p w14:paraId="49E970BE" w14:textId="77777777" w:rsidR="00490825" w:rsidRPr="007D0342" w:rsidRDefault="00490825" w:rsidP="00490825">
      <w:pPr>
        <w:numPr>
          <w:ilvl w:val="4"/>
          <w:numId w:val="25"/>
        </w:numPr>
        <w:overflowPunct/>
        <w:autoSpaceDE/>
        <w:autoSpaceDN/>
        <w:adjustRightInd/>
        <w:spacing w:after="0"/>
        <w:textAlignment w:val="auto"/>
        <w:rPr>
          <w:rFonts w:eastAsia="MS Mincho"/>
          <w:lang w:eastAsia="ja-JP"/>
        </w:rPr>
      </w:pPr>
      <w:r w:rsidRPr="007D0342">
        <w:rPr>
          <w:rFonts w:eastAsia="MS Mincho"/>
          <w:lang w:eastAsia="ja-JP"/>
        </w:rPr>
        <w:t>FFS whether NR UL frequency F1 is signaled in NR broadcast system information or derived from MIB/PBCH, or implicitly from NR DL frequency F2</w:t>
      </w:r>
    </w:p>
    <w:p w14:paraId="1B9701F7"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Dual connectivity of LTE and NR: UE accesses LTE PCell (with LTE UL on F1), then is configured by dual connectivity to also operate NR on F1 (UL) and F2 (DL).</w:t>
      </w:r>
    </w:p>
    <w:p w14:paraId="606D9A14" w14:textId="77777777" w:rsidR="00FB7CE9" w:rsidRDefault="00490825" w:rsidP="00FB7CE9">
      <w:pPr>
        <w:numPr>
          <w:ilvl w:val="4"/>
          <w:numId w:val="25"/>
        </w:numPr>
        <w:overflowPunct/>
        <w:autoSpaceDE/>
        <w:autoSpaceDN/>
        <w:adjustRightInd/>
        <w:spacing w:after="0"/>
        <w:textAlignment w:val="auto"/>
        <w:rPr>
          <w:rFonts w:eastAsia="MS Mincho"/>
          <w:lang w:eastAsia="ja-JP"/>
        </w:rPr>
      </w:pPr>
      <w:r w:rsidRPr="007D0342">
        <w:rPr>
          <w:rFonts w:eastAsia="MS Mincho"/>
          <w:lang w:eastAsia="ja-JP"/>
        </w:rPr>
        <w:t>NR DL and UL frequencies (and/or NR band number) are signaled by RRC</w:t>
      </w:r>
    </w:p>
    <w:p w14:paraId="6F23ABFD" w14:textId="67BCEACC" w:rsidR="00E769DB" w:rsidRPr="00FB7CE9" w:rsidRDefault="00490825" w:rsidP="00FB7CE9">
      <w:pPr>
        <w:numPr>
          <w:ilvl w:val="1"/>
          <w:numId w:val="25"/>
        </w:numPr>
        <w:overflowPunct/>
        <w:autoSpaceDE/>
        <w:autoSpaceDN/>
        <w:adjustRightInd/>
        <w:spacing w:after="0"/>
        <w:textAlignment w:val="auto"/>
        <w:rPr>
          <w:rFonts w:eastAsia="MS Mincho"/>
          <w:lang w:eastAsia="ja-JP"/>
        </w:rPr>
      </w:pPr>
      <w:r w:rsidRPr="00FB7CE9">
        <w:rPr>
          <w:rFonts w:eastAsia="MS Mincho"/>
          <w:lang w:eastAsia="ja-JP"/>
        </w:rPr>
        <w:t>Non-collocated LTE and NR base stations is FFS</w:t>
      </w:r>
    </w:p>
    <w:p w14:paraId="1A632F4A" w14:textId="77777777" w:rsidR="00FB7CE9" w:rsidRPr="00B625E5" w:rsidRDefault="00FB7CE9" w:rsidP="00FB7CE9">
      <w:pPr>
        <w:numPr>
          <w:ilvl w:val="0"/>
          <w:numId w:val="25"/>
        </w:numPr>
        <w:overflowPunct/>
        <w:autoSpaceDE/>
        <w:autoSpaceDN/>
        <w:adjustRightInd/>
        <w:spacing w:after="0"/>
        <w:textAlignment w:val="auto"/>
      </w:pPr>
      <w:r w:rsidRPr="00B625E5">
        <w:t>NR supports the case when an NR UE is not expected to understand or detect LTE signals/channels in the frequency band shared by NR and LTE.</w:t>
      </w:r>
    </w:p>
    <w:p w14:paraId="6A19EB5E" w14:textId="77777777" w:rsidR="00FB7CE9" w:rsidRPr="00B625E5" w:rsidRDefault="00FB7CE9" w:rsidP="00FB7CE9">
      <w:pPr>
        <w:numPr>
          <w:ilvl w:val="1"/>
          <w:numId w:val="25"/>
        </w:numPr>
        <w:overflowPunct/>
        <w:autoSpaceDE/>
        <w:autoSpaceDN/>
        <w:adjustRightInd/>
        <w:spacing w:after="0"/>
        <w:textAlignment w:val="auto"/>
      </w:pPr>
      <w:r w:rsidRPr="00B625E5">
        <w:t>Detailed conditions are FFS</w:t>
      </w:r>
    </w:p>
    <w:p w14:paraId="322FA204" w14:textId="77777777" w:rsidR="00FB7CE9" w:rsidRDefault="00FB7CE9" w:rsidP="00FB7CE9">
      <w:pPr>
        <w:numPr>
          <w:ilvl w:val="0"/>
          <w:numId w:val="25"/>
        </w:numPr>
        <w:overflowPunct/>
        <w:autoSpaceDE/>
        <w:autoSpaceDN/>
        <w:adjustRightInd/>
        <w:spacing w:after="0"/>
        <w:textAlignment w:val="auto"/>
      </w:pPr>
      <w:r w:rsidRPr="00B625E5">
        <w:t>Initial access procedure design for NR should be used as a baseline for the case of NR-LTE coexisting</w:t>
      </w:r>
    </w:p>
    <w:p w14:paraId="1D13C46C" w14:textId="686746D9" w:rsidR="00FB7CE9" w:rsidRDefault="00FB7CE9" w:rsidP="00FB7CE9">
      <w:pPr>
        <w:numPr>
          <w:ilvl w:val="1"/>
          <w:numId w:val="25"/>
        </w:numPr>
        <w:overflowPunct/>
        <w:autoSpaceDE/>
        <w:autoSpaceDN/>
        <w:adjustRightInd/>
        <w:spacing w:after="0"/>
        <w:textAlignment w:val="auto"/>
      </w:pPr>
      <w:r w:rsidRPr="00B625E5">
        <w:t>FFS whether or not additional impact</w:t>
      </w:r>
    </w:p>
    <w:p w14:paraId="3C7F922C" w14:textId="77777777" w:rsidR="00FB7CE9" w:rsidRDefault="00FB7CE9" w:rsidP="00FB7CE9">
      <w:pPr>
        <w:overflowPunct/>
        <w:autoSpaceDE/>
        <w:autoSpaceDN/>
        <w:adjustRightInd/>
        <w:spacing w:after="0"/>
        <w:ind w:left="360"/>
        <w:textAlignment w:val="auto"/>
      </w:pPr>
    </w:p>
    <w:p w14:paraId="23611D7D" w14:textId="77777777" w:rsidR="00FB7CE9" w:rsidRPr="008D5FE3" w:rsidRDefault="00FB7CE9" w:rsidP="00FB7CE9">
      <w:pPr>
        <w:numPr>
          <w:ilvl w:val="0"/>
          <w:numId w:val="25"/>
        </w:numPr>
        <w:overflowPunct/>
        <w:autoSpaceDE/>
        <w:autoSpaceDN/>
        <w:adjustRightInd/>
        <w:spacing w:after="0"/>
        <w:textAlignment w:val="auto"/>
      </w:pPr>
      <w:r w:rsidRPr="008D5FE3">
        <w:t>Supporting NR DL in MBSFN subframes of LTE</w:t>
      </w:r>
    </w:p>
    <w:p w14:paraId="099B3C33" w14:textId="5FB4F749" w:rsidR="00FB7CE9" w:rsidRPr="00FB7CE9" w:rsidRDefault="00FB7CE9" w:rsidP="00FB7CE9">
      <w:pPr>
        <w:numPr>
          <w:ilvl w:val="1"/>
          <w:numId w:val="25"/>
        </w:numPr>
        <w:overflowPunct/>
        <w:autoSpaceDE/>
        <w:autoSpaceDN/>
        <w:adjustRightInd/>
        <w:spacing w:after="0"/>
        <w:textAlignment w:val="auto"/>
      </w:pPr>
      <w:r w:rsidRPr="008D5FE3">
        <w:t>FFS details</w:t>
      </w:r>
    </w:p>
    <w:p w14:paraId="468A0DC2" w14:textId="77777777" w:rsidR="00E769DB" w:rsidRDefault="00E769DB" w:rsidP="00E769DB">
      <w:pPr>
        <w:overflowPunct/>
        <w:autoSpaceDE/>
        <w:autoSpaceDN/>
        <w:adjustRightInd/>
        <w:spacing w:after="0"/>
        <w:textAlignment w:val="auto"/>
        <w:rPr>
          <w:szCs w:val="22"/>
        </w:rPr>
      </w:pPr>
    </w:p>
    <w:p w14:paraId="4CE5B124" w14:textId="60844EE4" w:rsidR="00F05046" w:rsidRDefault="00E769DB" w:rsidP="00F05046">
      <w:pPr>
        <w:overflowPunct/>
        <w:autoSpaceDE/>
        <w:autoSpaceDN/>
        <w:adjustRightInd/>
        <w:spacing w:after="0"/>
        <w:textAlignment w:val="auto"/>
        <w:rPr>
          <w:lang w:val="en-GB"/>
        </w:rPr>
      </w:pPr>
      <w:r>
        <w:rPr>
          <w:szCs w:val="22"/>
        </w:rPr>
        <w:t xml:space="preserve">In this contribution, we </w:t>
      </w:r>
      <w:r w:rsidR="00490825">
        <w:rPr>
          <w:szCs w:val="22"/>
        </w:rPr>
        <w:t xml:space="preserve">focus on design principles </w:t>
      </w:r>
      <w:r w:rsidR="00553E65">
        <w:rPr>
          <w:szCs w:val="22"/>
        </w:rPr>
        <w:t xml:space="preserve">that </w:t>
      </w:r>
      <w:r w:rsidR="00490825">
        <w:rPr>
          <w:szCs w:val="22"/>
        </w:rPr>
        <w:t xml:space="preserve">enable NR LTE UL </w:t>
      </w:r>
      <w:r w:rsidR="00943C61">
        <w:rPr>
          <w:szCs w:val="22"/>
        </w:rPr>
        <w:t xml:space="preserve">and DL </w:t>
      </w:r>
      <w:r w:rsidR="00490825">
        <w:rPr>
          <w:szCs w:val="22"/>
        </w:rPr>
        <w:t>coexistence in the same channel for FDD systems</w:t>
      </w:r>
      <w:r>
        <w:rPr>
          <w:szCs w:val="22"/>
        </w:rPr>
        <w:t>.</w:t>
      </w:r>
      <w:r w:rsidR="00490825">
        <w:rPr>
          <w:szCs w:val="22"/>
        </w:rPr>
        <w:t xml:space="preserve"> Similar ideas would be applicable to TDD systems when sharing the UL resources.</w:t>
      </w:r>
      <w:r>
        <w:rPr>
          <w:szCs w:val="22"/>
        </w:rPr>
        <w:t xml:space="preserve"> </w:t>
      </w:r>
      <w:r w:rsidR="00490825">
        <w:rPr>
          <w:szCs w:val="22"/>
        </w:rPr>
        <w:t xml:space="preserve">The intention is to enable efficient resource sharing without introducing too much complexity to the NR </w:t>
      </w:r>
      <w:r>
        <w:rPr>
          <w:lang w:val="en-GB"/>
        </w:rPr>
        <w:t>design</w:t>
      </w:r>
      <w:r w:rsidR="00303939">
        <w:rPr>
          <w:lang w:val="en-GB"/>
        </w:rPr>
        <w:t>, not negatively impact the NR efficiency</w:t>
      </w:r>
      <w:r>
        <w:rPr>
          <w:lang w:val="en-GB"/>
        </w:rPr>
        <w:t>, since the need for the coexistence mechanisms will likely diminish over time as legacy services get replaced with the newer services.</w:t>
      </w:r>
    </w:p>
    <w:p w14:paraId="3BBC55EF" w14:textId="77777777" w:rsidR="00FB59A8" w:rsidRDefault="00FB59A8" w:rsidP="00FB59A8">
      <w:pPr>
        <w:pStyle w:val="Heading1"/>
      </w:pPr>
      <w:r>
        <w:t>Motivation for NR LTE Coexistence</w:t>
      </w:r>
    </w:p>
    <w:p w14:paraId="43398A64" w14:textId="42B0D8FD" w:rsidR="00FB59A8" w:rsidRDefault="00FB59A8" w:rsidP="00FB59A8">
      <w:pPr>
        <w:rPr>
          <w:lang w:val="en-GB"/>
        </w:rPr>
      </w:pPr>
      <w:r>
        <w:rPr>
          <w:lang w:val="en-GB"/>
        </w:rPr>
        <w:t xml:space="preserve">NR deployments are likely to happen across a wide variety of spectrums. In some cases, with the introduction of new frequency bands, there will be </w:t>
      </w:r>
      <w:r w:rsidR="001E71D8">
        <w:rPr>
          <w:lang w:val="en-GB"/>
        </w:rPr>
        <w:t>G</w:t>
      </w:r>
      <w:r>
        <w:rPr>
          <w:lang w:val="en-GB"/>
        </w:rPr>
        <w:t xml:space="preserve">reenfield deployments with no requirements related to co-existence with other technologies nearby. These deployments would have the most flexibility in terms of NR deployment options and should be able to </w:t>
      </w:r>
      <w:r>
        <w:rPr>
          <w:lang w:val="en-GB"/>
        </w:rPr>
        <w:lastRenderedPageBreak/>
        <w:t xml:space="preserve">exploit all the benefits NR has to offer such as low latency, ultra-reliability, adaptation to varying DL/UL traffic demand, etc. </w:t>
      </w:r>
    </w:p>
    <w:p w14:paraId="117EECA2" w14:textId="77777777" w:rsidR="00FB59A8" w:rsidRDefault="00FB59A8" w:rsidP="00FB59A8">
      <w:pPr>
        <w:rPr>
          <w:lang w:val="en-GB"/>
        </w:rPr>
      </w:pPr>
      <w:r>
        <w:rPr>
          <w:lang w:val="en-GB"/>
        </w:rPr>
        <w:t>On the other hand, there is also a need to gradually migrate existing LTE spectrum resources to NR as device penetration increases. This would mean that NR deployments could happen in the same band as LTE operation, which necessitates NR design to be flexible enough to co-exist with LTE such that legacy LTE devices are not significantly impacted by the introduction of NR.</w:t>
      </w:r>
      <w:r w:rsidRPr="002014BF">
        <w:rPr>
          <w:lang w:val="en-GB"/>
        </w:rPr>
        <w:t xml:space="preserve"> </w:t>
      </w:r>
      <w:r>
        <w:rPr>
          <w:lang w:val="en-GB"/>
        </w:rPr>
        <w:t>However, the NR design must not become too complicated in order to allow for coexistence with LTE, since the need for the coexistence mechanisms will likely diminish over time as legacy services get replaced with the newer services.</w:t>
      </w:r>
    </w:p>
    <w:p w14:paraId="786C38A2" w14:textId="570D6E42" w:rsidR="00A827FC" w:rsidRDefault="00FB59A8" w:rsidP="00A827FC">
      <w:pPr>
        <w:rPr>
          <w:lang w:val="en-GB"/>
        </w:rPr>
      </w:pPr>
      <w:r>
        <w:t xml:space="preserve">The two fundamental approaches for sharing DL resources are FDM or TDM-based sharing. </w:t>
      </w:r>
      <w:r w:rsidR="00755B8B">
        <w:t xml:space="preserve">Semi-static </w:t>
      </w:r>
      <w:r w:rsidR="00A827FC">
        <w:t>FDM</w:t>
      </w:r>
      <w:r w:rsidR="00C90606">
        <w:t xml:space="preserve"> sharing</w:t>
      </w:r>
      <w:r w:rsidR="00AF41E1">
        <w:t>,</w:t>
      </w:r>
      <w:r w:rsidR="00A827FC">
        <w:t xml:space="preserve"> </w:t>
      </w:r>
      <w:r w:rsidR="00AF41E1">
        <w:t>where LTE and NR are deployed in different carriers,</w:t>
      </w:r>
      <w:r w:rsidR="00AF41E1" w:rsidDel="00347878">
        <w:t xml:space="preserve"> </w:t>
      </w:r>
      <w:r w:rsidR="00AF41E1">
        <w:rPr>
          <w:lang w:val="en-GB"/>
        </w:rPr>
        <w:t xml:space="preserve">is </w:t>
      </w:r>
      <w:r w:rsidR="00A827FC">
        <w:rPr>
          <w:lang w:val="en-GB"/>
        </w:rPr>
        <w:t xml:space="preserve">preferred since </w:t>
      </w:r>
      <w:r w:rsidR="00AF41E1">
        <w:rPr>
          <w:lang w:val="en-GB"/>
        </w:rPr>
        <w:t>it is</w:t>
      </w:r>
      <w:r w:rsidR="00A827FC">
        <w:rPr>
          <w:lang w:val="en-GB"/>
        </w:rPr>
        <w:t xml:space="preserve"> simpler from a coexistence point of view, impose fewer restrictions and complexity to the NR design and therefore allow better NR performance in terms of latency and efficiency. </w:t>
      </w:r>
      <w:r w:rsidR="00C90606">
        <w:t xml:space="preserve">Semi-static </w:t>
      </w:r>
      <w:r w:rsidR="00A827FC">
        <w:rPr>
          <w:lang w:val="en-GB"/>
        </w:rPr>
        <w:t>FDM sharing also provides reasonable flexibility in terms of resource distribution between NR and LTE. Within a single operator, the total available bandwidth can be quantized into smaller carriers. NR and LTE can both have a static (anchor) allocation of a single carrier. The rest of the carriers can be time-shared between NR and LTE based on LTE-only and NR-capable user distribution in a semi-static fashion with fast activation/deactivation of carriers. Bandwidth of the static anchor allocation for LTE can be adjusted based on the distribution of LTE users that can take advantage of carrier aggregation in a given region.</w:t>
      </w:r>
    </w:p>
    <w:p w14:paraId="6AC5917D" w14:textId="3AD5AA55" w:rsidR="00A827FC" w:rsidRDefault="00A827FC" w:rsidP="00A827FC">
      <w:pPr>
        <w:rPr>
          <w:lang w:val="en-GB"/>
        </w:rPr>
      </w:pPr>
      <w:r>
        <w:rPr>
          <w:lang w:val="en-GB"/>
        </w:rPr>
        <w:t xml:space="preserve">For non-standalone deployments, users that support dual connectivity within the tight LTE-NR interworking framework can utilize the full bandwidth with </w:t>
      </w:r>
      <w:r w:rsidR="00012021">
        <w:rPr>
          <w:lang w:val="en-GB"/>
        </w:rPr>
        <w:t xml:space="preserve">semi static </w:t>
      </w:r>
      <w:r>
        <w:rPr>
          <w:lang w:val="en-GB"/>
        </w:rPr>
        <w:t xml:space="preserve">FDM-based resource sharing.  </w:t>
      </w:r>
    </w:p>
    <w:p w14:paraId="1CE9D49E" w14:textId="0B1AA67A" w:rsidR="00A827FC" w:rsidRDefault="00A827FC" w:rsidP="00A827FC">
      <w:r>
        <w:rPr>
          <w:lang w:val="en-GB"/>
        </w:rPr>
        <w:t xml:space="preserve">Since both NR and LTE have continuous UL and DL resources in time domain, this approach does not impact the timeline and is most favourable in terms of latency performance. It does not require new and constrained NR design and can benefit from all the advantages that NR design has to offer in terms of efficiency. </w:t>
      </w:r>
    </w:p>
    <w:p w14:paraId="423D10DA" w14:textId="5E90747F" w:rsidR="00FB59A8" w:rsidRDefault="00A827FC" w:rsidP="00FB59A8">
      <w:r>
        <w:t xml:space="preserve">In case of </w:t>
      </w:r>
      <w:r w:rsidR="00E24A0A">
        <w:t xml:space="preserve">semi-static </w:t>
      </w:r>
      <w:r>
        <w:t xml:space="preserve">FDM-based resource sharing between NR and LTE, </w:t>
      </w:r>
      <w:r w:rsidR="00A85ABB">
        <w:t xml:space="preserve">efficient </w:t>
      </w:r>
      <w:r>
        <w:t xml:space="preserve">adjacent channel co-existence </w:t>
      </w:r>
      <w:r w:rsidR="00A85ABB">
        <w:t>needs to be enabled.</w:t>
      </w:r>
      <w:r>
        <w:t xml:space="preserve"> The details and requirements for </w:t>
      </w:r>
      <w:r w:rsidR="009F4772">
        <w:t xml:space="preserve">this case are discussed in </w:t>
      </w:r>
      <w:r w:rsidR="009F4772">
        <w:fldChar w:fldCharType="begin"/>
      </w:r>
      <w:r w:rsidR="009F4772">
        <w:instrText xml:space="preserve"> REF _Ref477947118 \w \h </w:instrText>
      </w:r>
      <w:r w:rsidR="009F4772">
        <w:fldChar w:fldCharType="separate"/>
      </w:r>
      <w:r w:rsidR="00AF41E1">
        <w:t>[2]</w:t>
      </w:r>
      <w:r w:rsidR="009F4772">
        <w:fldChar w:fldCharType="end"/>
      </w:r>
      <w:r w:rsidR="00A85ABB">
        <w:t>.</w:t>
      </w:r>
      <w:r w:rsidR="009F4772">
        <w:t xml:space="preserve"> </w:t>
      </w:r>
      <w:r w:rsidR="00547AC6">
        <w:rPr>
          <w:lang w:val="en-GB"/>
        </w:rPr>
        <w:t xml:space="preserve">NR and LTE NR co-existence can also be facilitated on the same carrier for FDD and TDD systems based on time domain multiplexing, subject to certain limitations. By allowing a flexible semi-statically configured NR structure that can occupy a configurable subset of the time and frequency resources, co-existence can be achieved. However, due to the TDM nature of resource sharing, both LTE and NR would still experience higher latency compared to standalone deployments. </w:t>
      </w:r>
      <w:r w:rsidR="00547AC6">
        <w:t>The remainder of this contribution focuses on TDM-based co-channel NR LTE coexistence.</w:t>
      </w:r>
    </w:p>
    <w:p w14:paraId="14F2F403" w14:textId="5F227316" w:rsidR="0020399F" w:rsidRPr="00547AC6" w:rsidRDefault="0020399F" w:rsidP="0020399F">
      <w:pPr>
        <w:pStyle w:val="Heading1"/>
      </w:pPr>
      <w:r>
        <w:t>NR LTE DL Co-channel Coexistence</w:t>
      </w:r>
    </w:p>
    <w:p w14:paraId="401F6697" w14:textId="77777777" w:rsidR="0020399F" w:rsidRDefault="0020399F" w:rsidP="0020399F">
      <w:pPr>
        <w:pStyle w:val="Heading3"/>
      </w:pPr>
      <w:r>
        <w:t>MBSFN Subframe Resource Sharing</w:t>
      </w:r>
    </w:p>
    <w:p w14:paraId="3BD83BF8" w14:textId="6D6AA6C3" w:rsidR="0020399F" w:rsidRDefault="0020399F" w:rsidP="0020399F">
      <w:pPr>
        <w:rPr>
          <w:lang w:val="en-GB"/>
        </w:rPr>
      </w:pPr>
      <w:r>
        <w:rPr>
          <w:lang w:val="en-GB"/>
        </w:rPr>
        <w:t>For FDD deployments, the last 12 or 13 symbols of the LTE MBSFN subframes (1, 2, 3, 6, 7, and 8) can be utilized by NR as downlink resources. There are different ways to achieve this TDM-based sharing (</w:t>
      </w:r>
      <w:r w:rsidR="0098592E">
        <w:rPr>
          <w:b/>
          <w:bCs/>
        </w:rPr>
        <w:fldChar w:fldCharType="begin"/>
      </w:r>
      <w:r w:rsidR="0098592E">
        <w:rPr>
          <w:lang w:val="en-GB"/>
        </w:rPr>
        <w:instrText xml:space="preserve"> REF _Ref478113683 \h </w:instrText>
      </w:r>
      <w:r w:rsidR="0098592E">
        <w:rPr>
          <w:b/>
          <w:bCs/>
        </w:rPr>
      </w:r>
      <w:r w:rsidR="0098592E">
        <w:rPr>
          <w:b/>
          <w:bCs/>
        </w:rPr>
        <w:fldChar w:fldCharType="separate"/>
      </w:r>
      <w:r w:rsidR="0098592E">
        <w:t xml:space="preserve">Figure </w:t>
      </w:r>
      <w:r w:rsidR="0098592E">
        <w:rPr>
          <w:noProof/>
        </w:rPr>
        <w:t>1</w:t>
      </w:r>
      <w:r w:rsidR="0098592E">
        <w:rPr>
          <w:b/>
          <w:bCs/>
        </w:rPr>
        <w:fldChar w:fldCharType="end"/>
      </w:r>
      <w:r>
        <w:rPr>
          <w:lang w:val="en-GB"/>
        </w:rPr>
        <w:t xml:space="preserve">). One option is </w:t>
      </w:r>
      <w:r w:rsidR="005D5CCE">
        <w:rPr>
          <w:lang w:val="en-GB"/>
        </w:rPr>
        <w:t xml:space="preserve">to </w:t>
      </w:r>
      <w:r>
        <w:rPr>
          <w:lang w:val="en-GB"/>
        </w:rPr>
        <w:t>maintain alignment between the LTE and NR radio frames and starting NR DL control transmissions after the LTE PDCCH symbols. Another option is to shif</w:t>
      </w:r>
      <w:r w:rsidR="001C3D58">
        <w:rPr>
          <w:lang w:val="en-GB"/>
        </w:rPr>
        <w:t xml:space="preserve">t the NR radio frame boundary to be </w:t>
      </w:r>
      <w:r w:rsidR="003B7718">
        <w:rPr>
          <w:lang w:val="en-GB"/>
        </w:rPr>
        <w:t>1 or</w:t>
      </w:r>
      <w:r>
        <w:rPr>
          <w:lang w:val="en-GB"/>
        </w:rPr>
        <w:t xml:space="preserve"> 2 </w:t>
      </w:r>
      <w:r w:rsidR="003B7718">
        <w:rPr>
          <w:lang w:val="en-GB"/>
        </w:rPr>
        <w:t xml:space="preserve">LTE </w:t>
      </w:r>
      <w:r>
        <w:rPr>
          <w:lang w:val="en-GB"/>
        </w:rPr>
        <w:t>symbols</w:t>
      </w:r>
      <w:r w:rsidR="001C3D58">
        <w:rPr>
          <w:lang w:val="en-GB"/>
        </w:rPr>
        <w:t xml:space="preserve"> later </w:t>
      </w:r>
      <w:r w:rsidR="00CD4FA2">
        <w:rPr>
          <w:lang w:val="en-GB"/>
        </w:rPr>
        <w:t>than</w:t>
      </w:r>
      <w:r w:rsidR="001C3D58">
        <w:rPr>
          <w:lang w:val="en-GB"/>
        </w:rPr>
        <w:t xml:space="preserve"> the LTE radio frame boundary</w:t>
      </w:r>
      <w:r w:rsidR="003B7718">
        <w:rPr>
          <w:lang w:val="en-GB"/>
        </w:rPr>
        <w:t>, depending on the LTE MBSFN configurations,</w:t>
      </w:r>
      <w:r>
        <w:rPr>
          <w:lang w:val="en-GB"/>
        </w:rPr>
        <w:t xml:space="preserve"> such that NR DL control always appears at the beginning of a </w:t>
      </w:r>
      <w:r w:rsidR="001C3D58">
        <w:rPr>
          <w:lang w:val="en-GB"/>
        </w:rPr>
        <w:t>NR slot</w:t>
      </w:r>
      <w:r>
        <w:rPr>
          <w:lang w:val="en-GB"/>
        </w:rPr>
        <w:t xml:space="preserve">. </w:t>
      </w:r>
      <w:r w:rsidR="00B615E1">
        <w:rPr>
          <w:lang w:val="en-GB"/>
        </w:rPr>
        <w:t>Not</w:t>
      </w:r>
      <w:r w:rsidR="00AF41E1">
        <w:rPr>
          <w:lang w:val="en-GB"/>
        </w:rPr>
        <w:t>e</w:t>
      </w:r>
      <w:r w:rsidR="00B615E1">
        <w:rPr>
          <w:lang w:val="en-GB"/>
        </w:rPr>
        <w:t xml:space="preserve"> that, it is also possible to shift NR radio frame timing to the right (earlier than LTE radio frame timing) in order to avoid the collision of the NR control region with the LTE MBSFN control region. </w:t>
      </w:r>
      <w:r w:rsidR="008E0602">
        <w:rPr>
          <w:rStyle w:val="CommentReference"/>
          <w:lang w:eastAsia="x-none"/>
        </w:rPr>
        <w:t>To</w:t>
      </w:r>
      <w:r>
        <w:rPr>
          <w:lang w:val="en-GB"/>
        </w:rPr>
        <w:t xml:space="preserve"> avoid interfering with LTE control, NR would need to blank out the last few symbols of the subframe depending on the subcarrier spacing used. This pattern for </w:t>
      </w:r>
      <w:r w:rsidR="00E3278D">
        <w:rPr>
          <w:lang w:val="en-GB"/>
        </w:rPr>
        <w:t>NR</w:t>
      </w:r>
      <w:r>
        <w:rPr>
          <w:lang w:val="en-GB"/>
        </w:rPr>
        <w:t xml:space="preserve"> slot duration can be </w:t>
      </w:r>
      <w:r w:rsidR="00E3278D">
        <w:rPr>
          <w:lang w:val="en-GB"/>
        </w:rPr>
        <w:t xml:space="preserve">communicated to the UE through </w:t>
      </w:r>
      <w:r>
        <w:rPr>
          <w:lang w:val="en-GB"/>
        </w:rPr>
        <w:t>system information</w:t>
      </w:r>
      <w:r w:rsidR="00E3278D">
        <w:rPr>
          <w:lang w:val="en-GB"/>
        </w:rPr>
        <w:t xml:space="preserve"> or dynamically configured through control signalling</w:t>
      </w:r>
      <w:r>
        <w:rPr>
          <w:lang w:val="en-GB"/>
        </w:rPr>
        <w:t>.</w:t>
      </w:r>
      <w:r w:rsidR="00E3278D">
        <w:rPr>
          <w:lang w:val="en-GB"/>
        </w:rPr>
        <w:t xml:space="preserve"> </w:t>
      </w:r>
    </w:p>
    <w:p w14:paraId="597B4499" w14:textId="77777777" w:rsidR="0020399F" w:rsidRDefault="0020399F" w:rsidP="0020399F">
      <w:pPr>
        <w:rPr>
          <w:noProof/>
        </w:rPr>
      </w:pPr>
      <w:r>
        <w:rPr>
          <w:noProof/>
        </w:rPr>
        <w:drawing>
          <wp:inline distT="0" distB="0" distL="0" distR="0" wp14:anchorId="2E882596" wp14:editId="3816B24D">
            <wp:extent cx="3027872" cy="608461"/>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1111" cy="615140"/>
                    </a:xfrm>
                    <a:prstGeom prst="rect">
                      <a:avLst/>
                    </a:prstGeom>
                    <a:noFill/>
                  </pic:spPr>
                </pic:pic>
              </a:graphicData>
            </a:graphic>
          </wp:inline>
        </w:drawing>
      </w:r>
      <w:r w:rsidRPr="00BF0134">
        <w:rPr>
          <w:noProof/>
        </w:rPr>
        <w:t xml:space="preserve"> </w:t>
      </w:r>
      <w:r>
        <w:rPr>
          <w:noProof/>
        </w:rPr>
        <w:drawing>
          <wp:inline distT="0" distB="0" distL="0" distR="0" wp14:anchorId="59C30066" wp14:editId="28F32D63">
            <wp:extent cx="3200400" cy="794338"/>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575" cy="804558"/>
                    </a:xfrm>
                    <a:prstGeom prst="rect">
                      <a:avLst/>
                    </a:prstGeom>
                    <a:noFill/>
                  </pic:spPr>
                </pic:pic>
              </a:graphicData>
            </a:graphic>
          </wp:inline>
        </w:drawing>
      </w:r>
    </w:p>
    <w:p w14:paraId="0932D305" w14:textId="09E12ECF" w:rsidR="0098592E" w:rsidRDefault="0098592E" w:rsidP="0098592E">
      <w:pPr>
        <w:pStyle w:val="Caption"/>
        <w:rPr>
          <w:noProof/>
        </w:rPr>
      </w:pPr>
      <w:bookmarkStart w:id="2" w:name="_Ref478113683"/>
      <w:r>
        <w:t xml:space="preserve">Figure </w:t>
      </w:r>
      <w:fldSimple w:instr=" SEQ Figure \* ARABIC ">
        <w:r>
          <w:rPr>
            <w:noProof/>
          </w:rPr>
          <w:t>1</w:t>
        </w:r>
      </w:fldSimple>
      <w:bookmarkEnd w:id="2"/>
      <w:r>
        <w:t>: NR Slot Structure Options to Avoid Interference with LTE PDCCH Transmissions in MBSFN Subframes</w:t>
      </w:r>
    </w:p>
    <w:p w14:paraId="465AA7A1" w14:textId="77777777" w:rsidR="0020399F" w:rsidRDefault="0020399F" w:rsidP="0020399F">
      <w:pPr>
        <w:rPr>
          <w:b/>
          <w:u w:val="single"/>
          <w:lang w:val="en-GB"/>
        </w:rPr>
      </w:pPr>
    </w:p>
    <w:p w14:paraId="5F0C67AF" w14:textId="77777777" w:rsidR="00DD632F" w:rsidRDefault="0020399F" w:rsidP="0020399F">
      <w:pPr>
        <w:rPr>
          <w:lang w:val="en-GB"/>
        </w:rPr>
      </w:pPr>
      <w:r>
        <w:rPr>
          <w:b/>
          <w:u w:val="single"/>
          <w:lang w:val="en-GB"/>
        </w:rPr>
        <w:lastRenderedPageBreak/>
        <w:t>Proposal 1</w:t>
      </w:r>
      <w:r w:rsidRPr="008D105E">
        <w:rPr>
          <w:b/>
          <w:u w:val="single"/>
          <w:lang w:val="en-GB"/>
        </w:rPr>
        <w:t>:</w:t>
      </w:r>
      <w:r>
        <w:rPr>
          <w:lang w:val="en-GB"/>
        </w:rPr>
        <w:t xml:space="preserve"> For MBSFN subframe resource sharing between NR and LTE, NR transmissions can blank out the first few symbols of the corresponding NR slot. Alternatively, NR radio frame boundary can be shifted </w:t>
      </w:r>
      <w:r w:rsidR="00DD632F">
        <w:rPr>
          <w:lang w:val="en-GB"/>
        </w:rPr>
        <w:t>to avoid the collision of NR control region with LTE MBSFN control region.</w:t>
      </w:r>
    </w:p>
    <w:p w14:paraId="3210CF95" w14:textId="4823D7DA" w:rsidR="00E3278D" w:rsidRDefault="00E3278D" w:rsidP="00E3278D">
      <w:pPr>
        <w:rPr>
          <w:lang w:val="en-GB"/>
        </w:rPr>
      </w:pPr>
      <w:r>
        <w:rPr>
          <w:lang w:val="en-GB"/>
        </w:rPr>
        <w:t xml:space="preserve">Since some of the NR slots will have fewer symbols, the DMRS design also needs to take this into account and define DMRS patterns accordingly.   </w:t>
      </w:r>
    </w:p>
    <w:p w14:paraId="38C311B0" w14:textId="77777777" w:rsidR="0020399F" w:rsidRDefault="0020399F" w:rsidP="0020399F">
      <w:pPr>
        <w:rPr>
          <w:lang w:val="en-GB"/>
        </w:rPr>
      </w:pPr>
      <w:r>
        <w:rPr>
          <w:lang w:val="en-GB"/>
        </w:rPr>
        <w:t xml:space="preserve">In TDD deployments, MBSFN subframes vary by LTE TDD configuration. As an example, TDD config 2 subframes 3, 4, 8 and 9 can be designated as MBSFN. Similar to FDD, NR can use the non-control symbols of these subframes. Utilizing those resources for NR DL transmission may still be desirable to maintain the same direction with potential adjacent LTE-only deployments. </w:t>
      </w:r>
    </w:p>
    <w:p w14:paraId="2E8A5D7D" w14:textId="77777777" w:rsidR="0020399F" w:rsidRDefault="0020399F" w:rsidP="0020399F">
      <w:pPr>
        <w:rPr>
          <w:lang w:val="en-GB"/>
        </w:rPr>
      </w:pPr>
      <w:r>
        <w:rPr>
          <w:lang w:val="en-GB"/>
        </w:rPr>
        <w:t>NR broadcast and sync channel design should also be flexible enough to allow transmission of these signals within the MBSFN subframe resources (e.g., subframes 1</w:t>
      </w:r>
      <w:proofErr w:type="gramStart"/>
      <w:r>
        <w:rPr>
          <w:lang w:val="en-GB"/>
        </w:rPr>
        <w:t>,2,3,6,7,8</w:t>
      </w:r>
      <w:proofErr w:type="gramEnd"/>
      <w:r>
        <w:rPr>
          <w:lang w:val="en-GB"/>
        </w:rPr>
        <w:t xml:space="preserve"> for FDD). This can potentially be achieved by shifting the NR subframe indexing appropriately such that subframes with NR sync and broadcast channel align with LTE MBSFN subframes.</w:t>
      </w:r>
    </w:p>
    <w:p w14:paraId="0D314201" w14:textId="77777777" w:rsidR="0020399F" w:rsidRDefault="0020399F" w:rsidP="0020399F">
      <w:pPr>
        <w:rPr>
          <w:lang w:val="en-GB"/>
        </w:rPr>
      </w:pPr>
      <w:r>
        <w:rPr>
          <w:lang w:val="en-GB"/>
        </w:rPr>
        <w:t xml:space="preserve">Slots used by LTE data would not be available for NR transmissions, therefore control channel and HARQ timeline would need to be designed to allow for non-continuous resource availability. This may be achieved through explicit indication of HARQ timing together with the transmission grant.   </w:t>
      </w:r>
    </w:p>
    <w:p w14:paraId="35BDDFAE" w14:textId="77777777" w:rsidR="0020399F" w:rsidRDefault="0020399F" w:rsidP="0020399F">
      <w:pPr>
        <w:rPr>
          <w:lang w:val="en-GB"/>
        </w:rPr>
      </w:pPr>
      <w:r>
        <w:rPr>
          <w:lang w:val="en-GB"/>
        </w:rPr>
        <w:t xml:space="preserve">MBSFN configuration can only be adjusted semi-statically through RRC configuration, therefore may not be capable of adjusting well to the short term variations in NR and LTE load. On the other hand, resources allocated to NR that are not utilized due to low load can be used to schedule TM9/TM10 to Rel 10+ LTE UEs. </w:t>
      </w:r>
    </w:p>
    <w:p w14:paraId="503ADC58" w14:textId="77777777" w:rsidR="0020399F" w:rsidRDefault="0020399F" w:rsidP="0020399F">
      <w:pPr>
        <w:pStyle w:val="Heading3"/>
      </w:pPr>
      <w:r>
        <w:t>Non-MBSFN Subframe Resource Sharing</w:t>
      </w:r>
    </w:p>
    <w:p w14:paraId="7D23F667" w14:textId="77777777" w:rsidR="0020399F" w:rsidRDefault="0020399F" w:rsidP="0020399F">
      <w:pPr>
        <w:rPr>
          <w:lang w:val="en-GB"/>
        </w:rPr>
      </w:pPr>
      <w:r>
        <w:rPr>
          <w:lang w:val="en-GB"/>
        </w:rPr>
        <w:t>Another option for TDM-based resource sharing between NR and LTE is to utilize non-MBSFN subframes, where NR utilizes unused LTE resources dynamically at PRB level in frequency and subframe level in time. Usefulness of such dynamic PRB level resource sharing schemes needs to be carefully considered since it introduces many design challenges and additional overhead to ensure proper LTE and NR operation that may offset the potential performance benefits of dynamic adaptation. Some of the design challenges are listed below:</w:t>
      </w:r>
    </w:p>
    <w:p w14:paraId="67B0D6D6" w14:textId="18017587" w:rsidR="0020399F" w:rsidRPr="001865D7" w:rsidRDefault="0020399F" w:rsidP="0020399F">
      <w:pPr>
        <w:pStyle w:val="ListParagraph"/>
        <w:numPr>
          <w:ilvl w:val="0"/>
          <w:numId w:val="32"/>
        </w:numPr>
        <w:rPr>
          <w:rFonts w:ascii="Times New Roman" w:hAnsi="Times New Roman"/>
          <w:lang w:val="en-GB"/>
        </w:rPr>
      </w:pPr>
      <w:r w:rsidRPr="001865D7">
        <w:rPr>
          <w:rFonts w:ascii="Times New Roman" w:hAnsi="Times New Roman"/>
          <w:sz w:val="20"/>
          <w:lang w:val="en-GB"/>
        </w:rPr>
        <w:t xml:space="preserve">NR needs to </w:t>
      </w:r>
      <w:r>
        <w:rPr>
          <w:rFonts w:ascii="Times New Roman" w:hAnsi="Times New Roman"/>
          <w:sz w:val="20"/>
          <w:lang w:val="en-GB"/>
        </w:rPr>
        <w:t xml:space="preserve">vacate LTE CRS REs or the whole symbols that carry LTE CRS in order not to impact LTE </w:t>
      </w:r>
      <w:r w:rsidR="00755EB1">
        <w:rPr>
          <w:rFonts w:ascii="Times New Roman" w:hAnsi="Times New Roman"/>
          <w:sz w:val="20"/>
          <w:lang w:val="en-GB"/>
        </w:rPr>
        <w:t xml:space="preserve">operations </w:t>
      </w:r>
      <w:r>
        <w:rPr>
          <w:rFonts w:ascii="Times New Roman" w:hAnsi="Times New Roman"/>
          <w:sz w:val="20"/>
          <w:lang w:val="en-GB"/>
        </w:rPr>
        <w:t xml:space="preserve">that rely on consistent CRS availability such as RRM, RLM, </w:t>
      </w:r>
      <w:r w:rsidR="009B6A8A">
        <w:rPr>
          <w:rFonts w:ascii="Times New Roman" w:hAnsi="Times New Roman"/>
          <w:sz w:val="20"/>
          <w:lang w:val="en-GB"/>
        </w:rPr>
        <w:t xml:space="preserve">FTL/TTL, </w:t>
      </w:r>
      <w:r>
        <w:rPr>
          <w:rFonts w:ascii="Times New Roman" w:hAnsi="Times New Roman"/>
          <w:sz w:val="20"/>
          <w:lang w:val="en-GB"/>
        </w:rPr>
        <w:t>link adaptation, etc. This requires the definition of new NR slot structures or limits NR operation to mini slots on the DL.</w:t>
      </w:r>
    </w:p>
    <w:p w14:paraId="062EAEAE" w14:textId="77777777" w:rsidR="0020399F" w:rsidRPr="00717DFB" w:rsidRDefault="0020399F" w:rsidP="0020399F">
      <w:pPr>
        <w:pStyle w:val="ListParagraph"/>
        <w:numPr>
          <w:ilvl w:val="0"/>
          <w:numId w:val="32"/>
        </w:numPr>
        <w:rPr>
          <w:rFonts w:ascii="Times New Roman" w:hAnsi="Times New Roman"/>
          <w:lang w:val="en-GB"/>
        </w:rPr>
      </w:pPr>
      <w:r>
        <w:rPr>
          <w:rFonts w:ascii="Times New Roman" w:hAnsi="Times New Roman"/>
          <w:sz w:val="20"/>
          <w:lang w:val="en-GB"/>
        </w:rPr>
        <w:t>NR transmissions should not interfere with LTE PDCCH, SYNC and PBCH transmissions</w:t>
      </w:r>
    </w:p>
    <w:p w14:paraId="47F00202" w14:textId="77777777" w:rsidR="0020399F" w:rsidRPr="003B4B22" w:rsidRDefault="0020399F" w:rsidP="0020399F">
      <w:pPr>
        <w:pStyle w:val="ListParagraph"/>
        <w:numPr>
          <w:ilvl w:val="0"/>
          <w:numId w:val="32"/>
        </w:numPr>
        <w:rPr>
          <w:rFonts w:ascii="Times New Roman" w:hAnsi="Times New Roman"/>
          <w:lang w:val="en-GB"/>
        </w:rPr>
      </w:pPr>
      <w:r>
        <w:rPr>
          <w:rFonts w:ascii="Times New Roman" w:hAnsi="Times New Roman"/>
          <w:sz w:val="20"/>
          <w:lang w:val="en-GB"/>
        </w:rPr>
        <w:t>NR control, sync and broadcast channel, DMRS pattern design needs to include options that support operation when some of the DL resources in time and frequency are used by LTE.</w:t>
      </w:r>
    </w:p>
    <w:p w14:paraId="5D89D46D" w14:textId="77777777" w:rsidR="0020399F" w:rsidRPr="008451BC" w:rsidRDefault="0020399F" w:rsidP="0020399F">
      <w:pPr>
        <w:pStyle w:val="ListParagraph"/>
        <w:rPr>
          <w:rFonts w:ascii="Times New Roman" w:hAnsi="Times New Roman"/>
          <w:lang w:val="en-GB"/>
        </w:rPr>
      </w:pPr>
    </w:p>
    <w:p w14:paraId="0BA7414D" w14:textId="77777777" w:rsidR="0020399F" w:rsidRDefault="0020399F" w:rsidP="0020399F">
      <w:pPr>
        <w:rPr>
          <w:lang w:val="en-GB"/>
        </w:rPr>
      </w:pPr>
      <w:r>
        <w:rPr>
          <w:lang w:val="en-GB"/>
        </w:rPr>
        <w:t>This is a very c</w:t>
      </w:r>
      <w:r w:rsidRPr="008451BC">
        <w:rPr>
          <w:lang w:val="en-GB"/>
        </w:rPr>
        <w:t>omplex implementation with diminishing benefits as NR-capable user density increases.</w:t>
      </w:r>
      <w:r>
        <w:rPr>
          <w:lang w:val="en-GB"/>
        </w:rPr>
        <w:t xml:space="preserve"> Therefore, performance benefits of such an approach needs to be compelling enough to justify the complexity.</w:t>
      </w:r>
    </w:p>
    <w:p w14:paraId="3F81E55F" w14:textId="2CB82381" w:rsidR="0020399F" w:rsidRPr="0020399F" w:rsidRDefault="0020399F" w:rsidP="0020399F">
      <w:pPr>
        <w:rPr>
          <w:lang w:val="en-GB"/>
        </w:rPr>
      </w:pPr>
      <w:r w:rsidRPr="00097675">
        <w:rPr>
          <w:b/>
          <w:u w:val="single"/>
        </w:rPr>
        <w:t xml:space="preserve">Proposal </w:t>
      </w:r>
      <w:r>
        <w:rPr>
          <w:b/>
          <w:u w:val="single"/>
        </w:rPr>
        <w:t>2</w:t>
      </w:r>
      <w:r w:rsidRPr="00097675">
        <w:rPr>
          <w:b/>
          <w:u w:val="single"/>
        </w:rPr>
        <w:t>.</w:t>
      </w:r>
      <w:r>
        <w:t xml:space="preserve"> For TDM-based NR LTE DL coexistence, focus on the coexistence solution using MBSFN subframe where NR transmission avoids the first two symbols of LTE MBSFN subframes</w:t>
      </w:r>
    </w:p>
    <w:p w14:paraId="284B6D4F" w14:textId="0889EA66" w:rsidR="00E769DB" w:rsidRDefault="00E769DB" w:rsidP="00E769DB">
      <w:pPr>
        <w:pStyle w:val="Heading1"/>
      </w:pPr>
      <w:r>
        <w:t xml:space="preserve">NR LTE </w:t>
      </w:r>
      <w:r w:rsidR="00065E04">
        <w:t xml:space="preserve">UL </w:t>
      </w:r>
      <w:r w:rsidR="009F4772">
        <w:t xml:space="preserve">Co-channel </w:t>
      </w:r>
      <w:r w:rsidR="00065E04">
        <w:t>Coexistence</w:t>
      </w:r>
    </w:p>
    <w:p w14:paraId="12CD6813" w14:textId="42D26998" w:rsidR="00006CBD" w:rsidRDefault="00E769DB" w:rsidP="00E769DB">
      <w:r>
        <w:rPr>
          <w:lang w:val="en-GB"/>
        </w:rPr>
        <w:t xml:space="preserve">NR and LTE NR </w:t>
      </w:r>
      <w:r w:rsidR="00065E04">
        <w:rPr>
          <w:lang w:val="en-GB"/>
        </w:rPr>
        <w:t xml:space="preserve">UL </w:t>
      </w:r>
      <w:r>
        <w:rPr>
          <w:lang w:val="en-GB"/>
        </w:rPr>
        <w:t xml:space="preserve">co-existence can be facilitated on the same carrier for FDD and TDD systems subject to certain limitations. </w:t>
      </w:r>
      <w:r w:rsidR="00006CBD">
        <w:rPr>
          <w:lang w:val="en-GB"/>
        </w:rPr>
        <w:t xml:space="preserve">By allowing a flexible NR structure that can occupy a configurable subset of the time and frequency resources, co-existence can be achieved. However, LTE uses </w:t>
      </w:r>
      <w:r w:rsidR="00006CBD">
        <w:rPr>
          <w:rFonts w:hint="eastAsia"/>
          <w:lang w:val="x-none"/>
        </w:rPr>
        <w:t xml:space="preserve">DFT-S-OFDM as the waveform for uplink </w:t>
      </w:r>
      <w:r w:rsidR="00D5609D">
        <w:t xml:space="preserve">data/control </w:t>
      </w:r>
      <w:r w:rsidR="00930276">
        <w:t>with 15</w:t>
      </w:r>
      <w:r w:rsidR="00006CBD">
        <w:t xml:space="preserve"> kHz sub</w:t>
      </w:r>
      <w:r w:rsidR="0098592E">
        <w:t>-</w:t>
      </w:r>
      <w:r w:rsidR="00006CBD">
        <w:t xml:space="preserve">carrier spacing with a </w:t>
      </w:r>
      <w:r w:rsidR="00006CBD">
        <w:rPr>
          <w:rFonts w:hint="eastAsia"/>
          <w:lang w:val="x-none"/>
        </w:rPr>
        <w:t xml:space="preserve">half subcarrier shift. </w:t>
      </w:r>
      <w:r w:rsidR="00006CBD">
        <w:t xml:space="preserve">To accommodate NR waveform within the same carrier, some guard frequency and time would be needed. In order to minimize the guard band requirement for cases </w:t>
      </w:r>
      <w:r w:rsidR="00930276">
        <w:t xml:space="preserve">where NR is also operating with 15 kHz sub-carrier spacing, a 7.5 kHz shift in the NR raster can be considered. This would enable tone alignment between NR and LTE and therefore minimize the guard band requirement </w:t>
      </w:r>
      <w:r w:rsidR="003B0286">
        <w:t>when multiplexing</w:t>
      </w:r>
      <w:r w:rsidR="00930276">
        <w:t xml:space="preserve"> NR and LTE </w:t>
      </w:r>
      <w:r w:rsidR="003B0286">
        <w:t xml:space="preserve">UL </w:t>
      </w:r>
      <w:r w:rsidR="00930276">
        <w:t>tones.</w:t>
      </w:r>
      <w:r w:rsidR="00006CBD">
        <w:t xml:space="preserve"> </w:t>
      </w:r>
    </w:p>
    <w:p w14:paraId="0AFFE9BF" w14:textId="0786E2E7" w:rsidR="00930276" w:rsidRPr="00006CBD" w:rsidRDefault="00930276" w:rsidP="00E769DB">
      <w:r w:rsidRPr="00930276">
        <w:rPr>
          <w:b/>
          <w:u w:val="single"/>
        </w:rPr>
        <w:t xml:space="preserve">Proposal </w:t>
      </w:r>
      <w:r w:rsidR="0020399F">
        <w:rPr>
          <w:b/>
          <w:u w:val="single"/>
        </w:rPr>
        <w:t>3</w:t>
      </w:r>
      <w:r w:rsidRPr="00930276">
        <w:rPr>
          <w:b/>
          <w:u w:val="single"/>
        </w:rPr>
        <w:t>:</w:t>
      </w:r>
      <w:r>
        <w:t xml:space="preserve"> Consider shifting the NR raster by 7.5 kHz such that UL tones of LTE and NR (15 kHz SCS) can be aligned for efficient co-existence of the two RATs within the same uplink carrier</w:t>
      </w:r>
      <w:r w:rsidR="000636B0">
        <w:t>.</w:t>
      </w:r>
      <w:r>
        <w:t xml:space="preserve"> </w:t>
      </w:r>
    </w:p>
    <w:p w14:paraId="16156459" w14:textId="5E501EE2" w:rsidR="00065E04" w:rsidRDefault="00065E04" w:rsidP="00E769DB">
      <w:pPr>
        <w:rPr>
          <w:lang w:val="en-GB"/>
        </w:rPr>
      </w:pPr>
      <w:r>
        <w:rPr>
          <w:lang w:val="en-GB"/>
        </w:rPr>
        <w:lastRenderedPageBreak/>
        <w:t>When we look at the UL resource usage for LTE:</w:t>
      </w:r>
    </w:p>
    <w:p w14:paraId="648C43C8" w14:textId="77777777" w:rsidR="00194959" w:rsidRPr="00810228" w:rsidRDefault="00194959" w:rsidP="00194959">
      <w:pPr>
        <w:pStyle w:val="ListParagraph"/>
        <w:numPr>
          <w:ilvl w:val="0"/>
          <w:numId w:val="31"/>
        </w:numPr>
        <w:rPr>
          <w:rFonts w:ascii="Times New Roman" w:hAnsi="Times New Roman"/>
          <w:sz w:val="20"/>
          <w:lang w:val="en-GB"/>
        </w:rPr>
      </w:pPr>
      <w:r w:rsidRPr="00810228">
        <w:rPr>
          <w:rFonts w:ascii="Times New Roman" w:hAnsi="Times New Roman"/>
          <w:sz w:val="20"/>
          <w:lang w:val="en-GB"/>
        </w:rPr>
        <w:t>PUSCH: Occupies the middle of the band. Scheduler controls the usage of these resources.</w:t>
      </w:r>
    </w:p>
    <w:p w14:paraId="74114D02" w14:textId="77777777" w:rsidR="00194959" w:rsidRDefault="00194959" w:rsidP="00194959">
      <w:pPr>
        <w:pStyle w:val="ListParagraph"/>
        <w:ind w:left="645"/>
        <w:rPr>
          <w:rFonts w:ascii="Times New Roman" w:hAnsi="Times New Roman"/>
          <w:sz w:val="20"/>
          <w:lang w:val="en-GB"/>
        </w:rPr>
      </w:pPr>
    </w:p>
    <w:p w14:paraId="1101D12E" w14:textId="4A29A076" w:rsidR="00065E04" w:rsidRPr="00810228" w:rsidRDefault="00065E04"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 xml:space="preserve">PUCCH: Occupies the edges of the UL band. </w:t>
      </w:r>
      <w:r w:rsidR="000F307A" w:rsidRPr="00810228">
        <w:rPr>
          <w:rFonts w:ascii="Times New Roman" w:hAnsi="Times New Roman"/>
          <w:sz w:val="20"/>
          <w:lang w:val="en-GB"/>
        </w:rPr>
        <w:t>The amount of frequency resources taken up by PUCCH is RRC configured. Users transmit control signalling not associated with UL data transmission such as HARQ response (based on the HARQ timeline), Scheduling Requests, channel/MIMO feedback (CQI, PMI, RI) in PUCCH.</w:t>
      </w:r>
    </w:p>
    <w:p w14:paraId="3E3172BB" w14:textId="77777777" w:rsidR="00810228" w:rsidRDefault="00810228" w:rsidP="00810228">
      <w:pPr>
        <w:pStyle w:val="ListParagraph"/>
        <w:ind w:left="645"/>
        <w:rPr>
          <w:rFonts w:ascii="Times New Roman" w:hAnsi="Times New Roman"/>
          <w:sz w:val="20"/>
          <w:lang w:val="en-GB"/>
        </w:rPr>
      </w:pPr>
    </w:p>
    <w:p w14:paraId="7B529B48" w14:textId="39FDB3B9" w:rsidR="000F307A" w:rsidRPr="00810228" w:rsidRDefault="000F307A"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 xml:space="preserve">PRACH: </w:t>
      </w:r>
      <w:r w:rsidR="00F81571" w:rsidRPr="00810228">
        <w:rPr>
          <w:rFonts w:ascii="Times New Roman" w:hAnsi="Times New Roman"/>
          <w:sz w:val="20"/>
          <w:lang w:val="en-GB"/>
        </w:rPr>
        <w:t xml:space="preserve">Time-frequency resources for PRACH are semi-statically allocated </w:t>
      </w:r>
      <w:r w:rsidR="0057434B" w:rsidRPr="00810228">
        <w:rPr>
          <w:rFonts w:ascii="Times New Roman" w:hAnsi="Times New Roman"/>
          <w:sz w:val="20"/>
          <w:lang w:val="en-GB"/>
        </w:rPr>
        <w:t xml:space="preserve">within the UL resources. The start of the 6 RB PRACH region is configured by the frequency offset signalled by RRC. The PRACH configuration also specifies the </w:t>
      </w:r>
      <w:r w:rsidR="00810228">
        <w:rPr>
          <w:rFonts w:ascii="Times New Roman" w:hAnsi="Times New Roman"/>
          <w:sz w:val="20"/>
          <w:lang w:val="en-GB"/>
        </w:rPr>
        <w:t xml:space="preserve">slot position and the periodicity. </w:t>
      </w:r>
    </w:p>
    <w:p w14:paraId="7F88CD1B" w14:textId="77777777" w:rsidR="00810228" w:rsidRDefault="00810228" w:rsidP="00810228">
      <w:pPr>
        <w:pStyle w:val="ListParagraph"/>
        <w:ind w:left="645"/>
        <w:rPr>
          <w:rFonts w:ascii="Times New Roman" w:hAnsi="Times New Roman"/>
          <w:sz w:val="20"/>
          <w:lang w:val="en-GB"/>
        </w:rPr>
      </w:pPr>
    </w:p>
    <w:p w14:paraId="042A4B21" w14:textId="54E4866A" w:rsidR="000F307A" w:rsidRDefault="000F307A"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SRS:</w:t>
      </w:r>
      <w:r w:rsidR="00810228">
        <w:rPr>
          <w:rFonts w:ascii="Times New Roman" w:hAnsi="Times New Roman"/>
          <w:sz w:val="20"/>
          <w:lang w:val="en-GB"/>
        </w:rPr>
        <w:t xml:space="preserve"> SRS is transmitted on the last symbol of a subframe. The bandwidth and the </w:t>
      </w:r>
      <w:r w:rsidR="00D43399">
        <w:rPr>
          <w:rFonts w:ascii="Times New Roman" w:hAnsi="Times New Roman"/>
          <w:sz w:val="20"/>
          <w:lang w:val="en-GB"/>
        </w:rPr>
        <w:t xml:space="preserve">periodicity are configured through RRC. </w:t>
      </w:r>
    </w:p>
    <w:p w14:paraId="34FD71AC" w14:textId="77777777" w:rsidR="00810228" w:rsidRPr="00810228" w:rsidRDefault="00810228" w:rsidP="00810228">
      <w:pPr>
        <w:pStyle w:val="ListParagraph"/>
        <w:rPr>
          <w:rFonts w:ascii="Times New Roman" w:hAnsi="Times New Roman"/>
          <w:sz w:val="20"/>
          <w:lang w:val="en-GB"/>
        </w:rPr>
      </w:pPr>
    </w:p>
    <w:p w14:paraId="301BF0D5" w14:textId="4C912A69" w:rsidR="00D3447B" w:rsidRDefault="00E769DB" w:rsidP="00E769DB">
      <w:pPr>
        <w:rPr>
          <w:lang w:val="en-GB"/>
        </w:rPr>
      </w:pPr>
      <w:r>
        <w:rPr>
          <w:lang w:val="en-GB"/>
        </w:rPr>
        <w:t>L</w:t>
      </w:r>
      <w:r w:rsidR="004E42DF">
        <w:rPr>
          <w:lang w:val="en-GB"/>
        </w:rPr>
        <w:t xml:space="preserve">TE can </w:t>
      </w:r>
      <w:r>
        <w:rPr>
          <w:lang w:val="en-GB"/>
        </w:rPr>
        <w:t xml:space="preserve">omit scheduling UL data </w:t>
      </w:r>
      <w:r w:rsidR="009E0453">
        <w:rPr>
          <w:lang w:val="en-GB"/>
        </w:rPr>
        <w:t xml:space="preserve">(PUSCH) </w:t>
      </w:r>
      <w:r>
        <w:rPr>
          <w:lang w:val="en-GB"/>
        </w:rPr>
        <w:t>on certain subframes. However, LTE PUCCH, SRS and PRACH transmissions can still occupy certain time and frequency resources within those subframes.</w:t>
      </w:r>
      <w:r w:rsidR="004E42DF">
        <w:rPr>
          <w:lang w:val="en-GB"/>
        </w:rPr>
        <w:t xml:space="preserve"> In order to prevent</w:t>
      </w:r>
      <w:r>
        <w:rPr>
          <w:lang w:val="en-GB"/>
        </w:rPr>
        <w:t xml:space="preserve"> </w:t>
      </w:r>
      <w:r w:rsidR="004E42DF">
        <w:rPr>
          <w:lang w:val="en-GB"/>
        </w:rPr>
        <w:t>any performance impact, LTE PUCCH, SRS and PRACH resources should be reserved for LTE. Allowing NR to operate within the remaining subset of resources can enable co-existence (</w:t>
      </w:r>
      <w:r w:rsidR="0098592E">
        <w:rPr>
          <w:lang w:val="en-GB"/>
        </w:rPr>
        <w:fldChar w:fldCharType="begin"/>
      </w:r>
      <w:r w:rsidR="0098592E">
        <w:rPr>
          <w:lang w:val="en-GB"/>
        </w:rPr>
        <w:instrText xml:space="preserve"> REF _Ref478113726 \h </w:instrText>
      </w:r>
      <w:r w:rsidR="0098592E">
        <w:rPr>
          <w:lang w:val="en-GB"/>
        </w:rPr>
      </w:r>
      <w:r w:rsidR="0098592E">
        <w:rPr>
          <w:lang w:val="en-GB"/>
        </w:rPr>
        <w:fldChar w:fldCharType="separate"/>
      </w:r>
      <w:r w:rsidR="0098592E">
        <w:t xml:space="preserve">Figure </w:t>
      </w:r>
      <w:r w:rsidR="0098592E">
        <w:rPr>
          <w:noProof/>
        </w:rPr>
        <w:t>2</w:t>
      </w:r>
      <w:r w:rsidR="0098592E">
        <w:rPr>
          <w:lang w:val="en-GB"/>
        </w:rPr>
        <w:fldChar w:fldCharType="end"/>
      </w:r>
      <w:r w:rsidR="0098592E">
        <w:t xml:space="preserve">). </w:t>
      </w:r>
      <w:r w:rsidR="00D3447B">
        <w:rPr>
          <w:lang w:val="en-GB"/>
        </w:rPr>
        <w:t>Since SRS avoidance requires time domain multiplexing, NR UL would need to support a slot structure that allows blanking the last symbol of the LTE subframe.</w:t>
      </w:r>
    </w:p>
    <w:p w14:paraId="5864E156" w14:textId="1EA36164" w:rsidR="00480ADC" w:rsidRPr="00480ADC" w:rsidRDefault="00480ADC" w:rsidP="00E769DB">
      <w:pPr>
        <w:rPr>
          <w:u w:val="single"/>
          <w:lang w:val="en-GB"/>
        </w:rPr>
      </w:pPr>
      <w:r w:rsidRPr="00643BCF">
        <w:rPr>
          <w:b/>
          <w:u w:val="single"/>
          <w:lang w:val="en-GB"/>
        </w:rPr>
        <w:t xml:space="preserve">Proposal </w:t>
      </w:r>
      <w:r w:rsidR="0020399F">
        <w:rPr>
          <w:b/>
          <w:u w:val="single"/>
          <w:lang w:val="en-GB"/>
        </w:rPr>
        <w:t>4</w:t>
      </w:r>
      <w:r w:rsidRPr="00643BCF">
        <w:rPr>
          <w:b/>
          <w:lang w:val="en-GB"/>
        </w:rPr>
        <w:t>:</w:t>
      </w:r>
      <w:r w:rsidRPr="00480ADC">
        <w:rPr>
          <w:lang w:val="en-GB"/>
        </w:rPr>
        <w:t xml:space="preserve"> </w:t>
      </w:r>
      <w:r>
        <w:rPr>
          <w:lang w:val="en-GB"/>
        </w:rPr>
        <w:t xml:space="preserve">Consider </w:t>
      </w:r>
      <w:r w:rsidRPr="00480ADC">
        <w:rPr>
          <w:lang w:val="en-GB"/>
        </w:rPr>
        <w:t>NR UL</w:t>
      </w:r>
      <w:r>
        <w:rPr>
          <w:lang w:val="en-GB"/>
        </w:rPr>
        <w:t xml:space="preserve"> to support a slot structure that allows blanking symbols that coincide with LTE SRS transmissions.</w:t>
      </w:r>
    </w:p>
    <w:p w14:paraId="37BA7242" w14:textId="65BEEA60" w:rsidR="00E769DB" w:rsidRDefault="004E42DF" w:rsidP="00E769DB">
      <w:pPr>
        <w:rPr>
          <w:lang w:val="en-GB"/>
        </w:rPr>
      </w:pPr>
      <w:r>
        <w:rPr>
          <w:lang w:val="en-GB"/>
        </w:rPr>
        <w:t xml:space="preserve">Since resource allocations for all these physical channels are RRC controlled, NR can know these semi-static allocations and also notify NR UEs through RRC signalling. </w:t>
      </w:r>
      <w:r w:rsidR="00194959">
        <w:rPr>
          <w:lang w:val="en-GB"/>
        </w:rPr>
        <w:t>At any point in time, NR UE would know which time/frequency resources are available to NR.</w:t>
      </w:r>
    </w:p>
    <w:p w14:paraId="5B9BF199" w14:textId="1C6BC8C3" w:rsidR="00480ADC" w:rsidRDefault="00480ADC" w:rsidP="00E769DB">
      <w:pPr>
        <w:rPr>
          <w:lang w:val="en-GB"/>
        </w:rPr>
      </w:pPr>
      <w:r w:rsidRPr="00643BCF">
        <w:rPr>
          <w:b/>
          <w:u w:val="single"/>
          <w:lang w:val="en-GB"/>
        </w:rPr>
        <w:t xml:space="preserve">Proposal </w:t>
      </w:r>
      <w:r w:rsidR="0020399F">
        <w:rPr>
          <w:b/>
          <w:u w:val="single"/>
          <w:lang w:val="en-GB"/>
        </w:rPr>
        <w:t>5</w:t>
      </w:r>
      <w:r w:rsidRPr="00643BCF">
        <w:rPr>
          <w:b/>
          <w:lang w:val="en-GB"/>
        </w:rPr>
        <w:t>:</w:t>
      </w:r>
      <w:r>
        <w:rPr>
          <w:lang w:val="en-GB"/>
        </w:rPr>
        <w:t xml:space="preserve"> Consider NR and LTE to share RRC-configuration information regarding PRACH and SRS configurations in order to identify orthogonal time and frequency resources in a semi-static fashion.</w:t>
      </w:r>
    </w:p>
    <w:p w14:paraId="06BE1B75" w14:textId="77777777" w:rsidR="00E769DB" w:rsidRDefault="00A96F9B" w:rsidP="00E769DB">
      <w:pPr>
        <w:jc w:val="center"/>
        <w:rPr>
          <w:lang w:val="en-GB"/>
        </w:rPr>
      </w:pPr>
      <w:r w:rsidRPr="00124BD9">
        <w:object w:dxaOrig="7045" w:dyaOrig="2562" w14:anchorId="101EE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25pt;height:123pt" o:ole="">
            <v:imagedata r:id="rId14" o:title=""/>
          </v:shape>
          <o:OLEObject Type="Embed" ProgID="Visio.Drawing.11" ShapeID="_x0000_i1025" DrawAspect="Content" ObjectID="_1551896178" r:id="rId15"/>
        </w:object>
      </w:r>
    </w:p>
    <w:p w14:paraId="463003F0" w14:textId="7F3A2827" w:rsidR="00E769DB" w:rsidRDefault="00E769DB" w:rsidP="00E769DB">
      <w:pPr>
        <w:pStyle w:val="Caption"/>
        <w:jc w:val="center"/>
        <w:rPr>
          <w:lang w:val="en-GB"/>
        </w:rPr>
      </w:pPr>
      <w:bookmarkStart w:id="3" w:name="_Ref478113726"/>
      <w:r>
        <w:t xml:space="preserve">Figure </w:t>
      </w:r>
      <w:r w:rsidR="00DD1F9B">
        <w:fldChar w:fldCharType="begin"/>
      </w:r>
      <w:r w:rsidR="00DD1F9B">
        <w:instrText xml:space="preserve"> SEQ Figure \* ARABIC </w:instrText>
      </w:r>
      <w:r w:rsidR="00DD1F9B">
        <w:fldChar w:fldCharType="separate"/>
      </w:r>
      <w:r w:rsidR="0098592E">
        <w:rPr>
          <w:noProof/>
        </w:rPr>
        <w:t>2</w:t>
      </w:r>
      <w:r w:rsidR="00DD1F9B">
        <w:rPr>
          <w:noProof/>
        </w:rPr>
        <w:fldChar w:fldCharType="end"/>
      </w:r>
      <w:bookmarkEnd w:id="3"/>
      <w:r>
        <w:t>: FDD Co-channel LTE and NR: UL Resource Sharing</w:t>
      </w:r>
    </w:p>
    <w:p w14:paraId="7F080F60" w14:textId="77777777" w:rsidR="00194959" w:rsidRDefault="007604BF" w:rsidP="00E769DB">
      <w:pPr>
        <w:rPr>
          <w:lang w:val="en-GB"/>
        </w:rPr>
      </w:pPr>
      <w:r>
        <w:rPr>
          <w:lang w:val="en-GB"/>
        </w:rPr>
        <w:t xml:space="preserve">From NR performance point of view, there are also a few key considerations. </w:t>
      </w:r>
    </w:p>
    <w:p w14:paraId="66A03775" w14:textId="27C1C12A" w:rsidR="00194959" w:rsidRDefault="00194959"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PUSCH: UL data transmissions grants are sent in DCI. Tight coordination between collocated LTE and NR UL schedulers can ensure resource orthogonalization. For example, only one RAT gets scheduled PUSCH in any given slot. </w:t>
      </w:r>
      <w:r w:rsidR="00480ADC">
        <w:rPr>
          <w:rFonts w:ascii="Times New Roman" w:hAnsi="Times New Roman"/>
          <w:sz w:val="20"/>
          <w:lang w:val="en-GB"/>
        </w:rPr>
        <w:t>Alternatively,</w:t>
      </w:r>
      <w:r w:rsidR="009703D2">
        <w:rPr>
          <w:rFonts w:ascii="Times New Roman" w:hAnsi="Times New Roman"/>
          <w:sz w:val="20"/>
          <w:lang w:val="en-GB"/>
        </w:rPr>
        <w:t xml:space="preserve"> the resource sharing schedule across the two RATs can be configured semi-</w:t>
      </w:r>
      <w:r w:rsidR="00CD7722">
        <w:rPr>
          <w:rFonts w:ascii="Times New Roman" w:hAnsi="Times New Roman"/>
          <w:sz w:val="20"/>
          <w:lang w:val="en-GB"/>
        </w:rPr>
        <w:t>statically</w:t>
      </w:r>
      <w:r w:rsidR="009703D2">
        <w:rPr>
          <w:rFonts w:ascii="Times New Roman" w:hAnsi="Times New Roman"/>
          <w:sz w:val="20"/>
          <w:lang w:val="en-GB"/>
        </w:rPr>
        <w:t>, eliminating the need for tight coordination.</w:t>
      </w:r>
    </w:p>
    <w:p w14:paraId="2B7C7DF0" w14:textId="77777777" w:rsidR="00194959" w:rsidRPr="00194959" w:rsidRDefault="00194959" w:rsidP="00194959">
      <w:pPr>
        <w:pStyle w:val="ListParagraph"/>
        <w:ind w:left="645"/>
        <w:rPr>
          <w:rFonts w:ascii="Times New Roman" w:hAnsi="Times New Roman"/>
          <w:sz w:val="20"/>
          <w:lang w:val="en-GB"/>
        </w:rPr>
      </w:pPr>
    </w:p>
    <w:p w14:paraId="6E12ABE6" w14:textId="55A4A103" w:rsidR="009703D2" w:rsidRDefault="00194959"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PUCCH: </w:t>
      </w:r>
      <w:r w:rsidR="00D3447B" w:rsidRPr="00194959">
        <w:rPr>
          <w:rFonts w:ascii="Times New Roman" w:hAnsi="Times New Roman"/>
          <w:sz w:val="20"/>
          <w:lang w:val="en-GB"/>
        </w:rPr>
        <w:t>A</w:t>
      </w:r>
      <w:r>
        <w:rPr>
          <w:rFonts w:ascii="Times New Roman" w:hAnsi="Times New Roman"/>
          <w:sz w:val="20"/>
          <w:lang w:val="en-GB"/>
        </w:rPr>
        <w:t xml:space="preserve"> very</w:t>
      </w:r>
      <w:r w:rsidR="00D3447B" w:rsidRPr="00194959">
        <w:rPr>
          <w:rFonts w:ascii="Times New Roman" w:hAnsi="Times New Roman"/>
          <w:sz w:val="20"/>
          <w:lang w:val="en-GB"/>
        </w:rPr>
        <w:t xml:space="preserve"> important consideration is NR UL control information. Since </w:t>
      </w:r>
      <w:r w:rsidR="00353749">
        <w:rPr>
          <w:rFonts w:ascii="Times New Roman" w:hAnsi="Times New Roman"/>
          <w:sz w:val="20"/>
          <w:lang w:val="en-GB"/>
        </w:rPr>
        <w:t xml:space="preserve">not all </w:t>
      </w:r>
      <w:r w:rsidR="00D3447B" w:rsidRPr="00194959">
        <w:rPr>
          <w:rFonts w:ascii="Times New Roman" w:hAnsi="Times New Roman"/>
          <w:sz w:val="20"/>
          <w:lang w:val="en-GB"/>
        </w:rPr>
        <w:t xml:space="preserve">slots would be available </w:t>
      </w:r>
      <w:r w:rsidRPr="00194959">
        <w:rPr>
          <w:rFonts w:ascii="Times New Roman" w:hAnsi="Times New Roman"/>
          <w:sz w:val="20"/>
          <w:lang w:val="en-GB"/>
        </w:rPr>
        <w:t>for NR UL usage, one option is to schedule PUCCH transmission</w:t>
      </w:r>
      <w:r w:rsidR="00DB089F">
        <w:rPr>
          <w:rFonts w:ascii="Times New Roman" w:hAnsi="Times New Roman"/>
          <w:sz w:val="20"/>
          <w:lang w:val="en-GB"/>
        </w:rPr>
        <w:t>s</w:t>
      </w:r>
      <w:r w:rsidRPr="00194959">
        <w:rPr>
          <w:rFonts w:ascii="Times New Roman" w:hAnsi="Times New Roman"/>
          <w:sz w:val="20"/>
          <w:lang w:val="en-GB"/>
        </w:rPr>
        <w:t xml:space="preserve"> through DCI as well</w:t>
      </w:r>
      <w:r>
        <w:rPr>
          <w:rFonts w:ascii="Times New Roman" w:hAnsi="Times New Roman"/>
          <w:sz w:val="20"/>
          <w:lang w:val="en-GB"/>
        </w:rPr>
        <w:t>, similar to PUSCH</w:t>
      </w:r>
      <w:r w:rsidRPr="00194959">
        <w:rPr>
          <w:rFonts w:ascii="Times New Roman" w:hAnsi="Times New Roman"/>
          <w:sz w:val="20"/>
          <w:lang w:val="en-GB"/>
        </w:rPr>
        <w:t xml:space="preserve">. </w:t>
      </w:r>
      <w:r w:rsidR="00DB089F">
        <w:rPr>
          <w:rFonts w:ascii="Times New Roman" w:hAnsi="Times New Roman"/>
          <w:sz w:val="20"/>
          <w:lang w:val="en-GB"/>
        </w:rPr>
        <w:t>In this case of non-continuous PUCCH resource availability</w:t>
      </w:r>
      <w:r>
        <w:rPr>
          <w:rFonts w:ascii="Times New Roman" w:hAnsi="Times New Roman"/>
          <w:sz w:val="20"/>
          <w:lang w:val="en-GB"/>
        </w:rPr>
        <w:t xml:space="preserve">, </w:t>
      </w:r>
      <w:r w:rsidR="009703D2">
        <w:rPr>
          <w:rFonts w:ascii="Times New Roman" w:hAnsi="Times New Roman"/>
          <w:sz w:val="20"/>
          <w:lang w:val="en-GB"/>
        </w:rPr>
        <w:t>there may be several issues:</w:t>
      </w:r>
    </w:p>
    <w:p w14:paraId="4F10B835" w14:textId="77777777" w:rsidR="009703D2" w:rsidRPr="009703D2" w:rsidRDefault="009703D2" w:rsidP="009703D2">
      <w:pPr>
        <w:pStyle w:val="ListParagraph"/>
        <w:rPr>
          <w:rFonts w:ascii="Times New Roman" w:hAnsi="Times New Roman"/>
          <w:sz w:val="20"/>
          <w:lang w:val="en-GB"/>
        </w:rPr>
      </w:pPr>
    </w:p>
    <w:p w14:paraId="3D7B548C" w14:textId="0410AAB5" w:rsidR="009703D2" w:rsidRDefault="00194959" w:rsidP="009703D2">
      <w:pPr>
        <w:pStyle w:val="ListParagraph"/>
        <w:numPr>
          <w:ilvl w:val="1"/>
          <w:numId w:val="31"/>
        </w:numPr>
        <w:rPr>
          <w:rFonts w:ascii="Times New Roman" w:hAnsi="Times New Roman"/>
          <w:sz w:val="20"/>
          <w:lang w:val="en-GB"/>
        </w:rPr>
      </w:pPr>
      <w:r>
        <w:rPr>
          <w:rFonts w:ascii="Times New Roman" w:hAnsi="Times New Roman"/>
          <w:sz w:val="20"/>
          <w:lang w:val="en-GB"/>
        </w:rPr>
        <w:t xml:space="preserve">NR HARQ timeline </w:t>
      </w:r>
      <w:r w:rsidR="002F3F2A">
        <w:rPr>
          <w:rFonts w:ascii="Times New Roman" w:hAnsi="Times New Roman"/>
          <w:sz w:val="20"/>
          <w:lang w:val="en-GB"/>
        </w:rPr>
        <w:t xml:space="preserve">and the number of </w:t>
      </w:r>
      <w:r w:rsidR="00DB089F">
        <w:rPr>
          <w:rFonts w:ascii="Times New Roman" w:hAnsi="Times New Roman"/>
          <w:sz w:val="20"/>
          <w:lang w:val="en-GB"/>
        </w:rPr>
        <w:t xml:space="preserve">available </w:t>
      </w:r>
      <w:r w:rsidR="002F3F2A">
        <w:rPr>
          <w:rFonts w:ascii="Times New Roman" w:hAnsi="Times New Roman"/>
          <w:sz w:val="20"/>
          <w:lang w:val="en-GB"/>
        </w:rPr>
        <w:t xml:space="preserve">DL HARQ processes </w:t>
      </w:r>
      <w:r w:rsidR="00DB089F">
        <w:rPr>
          <w:rFonts w:ascii="Times New Roman" w:hAnsi="Times New Roman"/>
          <w:sz w:val="20"/>
          <w:lang w:val="en-GB"/>
        </w:rPr>
        <w:t>needs</w:t>
      </w:r>
      <w:r>
        <w:rPr>
          <w:rFonts w:ascii="Times New Roman" w:hAnsi="Times New Roman"/>
          <w:sz w:val="20"/>
          <w:lang w:val="en-GB"/>
        </w:rPr>
        <w:t xml:space="preserve"> to be taken into account when sch</w:t>
      </w:r>
      <w:r w:rsidR="002F3F2A">
        <w:rPr>
          <w:rFonts w:ascii="Times New Roman" w:hAnsi="Times New Roman"/>
          <w:sz w:val="20"/>
          <w:lang w:val="en-GB"/>
        </w:rPr>
        <w:t xml:space="preserve">eduling resources. This may impose additional requirements such as being able to send HARQ response for multiple HARQ processes at the same time, even for FDD systems. </w:t>
      </w:r>
      <w:r w:rsidR="009703D2">
        <w:rPr>
          <w:rFonts w:ascii="Times New Roman" w:hAnsi="Times New Roman"/>
          <w:sz w:val="20"/>
          <w:lang w:val="en-GB"/>
        </w:rPr>
        <w:t>There would also be a latency impact on DL operation due to the delayed HARQ responses.</w:t>
      </w:r>
    </w:p>
    <w:p w14:paraId="25C1E730" w14:textId="71BA0A05" w:rsidR="00194959" w:rsidRDefault="009703D2" w:rsidP="009703D2">
      <w:pPr>
        <w:pStyle w:val="ListParagraph"/>
        <w:numPr>
          <w:ilvl w:val="1"/>
          <w:numId w:val="31"/>
        </w:numPr>
        <w:rPr>
          <w:rFonts w:ascii="Times New Roman" w:hAnsi="Times New Roman"/>
          <w:sz w:val="20"/>
          <w:lang w:val="en-GB"/>
        </w:rPr>
      </w:pPr>
      <w:r>
        <w:rPr>
          <w:rFonts w:ascii="Times New Roman" w:hAnsi="Times New Roman"/>
          <w:sz w:val="20"/>
          <w:lang w:val="en-GB"/>
        </w:rPr>
        <w:lastRenderedPageBreak/>
        <w:t xml:space="preserve">It would also add latency to UL operation since a UE would need to wait for PUCCH scheduling to send an SR when it has new UL data to send. </w:t>
      </w:r>
    </w:p>
    <w:p w14:paraId="0E71A006" w14:textId="7814D728" w:rsidR="009703D2" w:rsidRDefault="008365CF" w:rsidP="0098592E">
      <w:pPr>
        <w:rPr>
          <w:lang w:val="en-GB"/>
        </w:rPr>
      </w:pPr>
      <w:r>
        <w:rPr>
          <w:lang w:val="en-GB"/>
        </w:rPr>
        <w:t>Based on the above discussion, s</w:t>
      </w:r>
      <w:r w:rsidR="00643BCF">
        <w:rPr>
          <w:lang w:val="en-GB"/>
        </w:rPr>
        <w:t>emi-static allocation of some guaranteed NR resources would help overcome some of the issues listed above related to PUCCH operation.</w:t>
      </w:r>
    </w:p>
    <w:p w14:paraId="44DE7DBC" w14:textId="4CEBC160" w:rsidR="00194959" w:rsidRPr="000636B0" w:rsidRDefault="008D1376" w:rsidP="000636B0">
      <w:pPr>
        <w:rPr>
          <w:lang w:val="en-GB"/>
        </w:rPr>
      </w:pPr>
      <w:r>
        <w:rPr>
          <w:b/>
          <w:u w:val="single"/>
          <w:lang w:val="en-GB"/>
        </w:rPr>
        <w:t xml:space="preserve">Proposal </w:t>
      </w:r>
      <w:r w:rsidR="0020399F">
        <w:rPr>
          <w:b/>
          <w:u w:val="single"/>
          <w:lang w:val="en-GB"/>
        </w:rPr>
        <w:t>6</w:t>
      </w:r>
      <w:r w:rsidR="00643BCF" w:rsidRPr="00643BCF">
        <w:rPr>
          <w:b/>
          <w:u w:val="single"/>
          <w:lang w:val="en-GB"/>
        </w:rPr>
        <w:t>:</w:t>
      </w:r>
      <w:r w:rsidR="00643BCF" w:rsidRPr="00643BCF">
        <w:rPr>
          <w:b/>
          <w:lang w:val="en-GB"/>
        </w:rPr>
        <w:t xml:space="preserve"> </w:t>
      </w:r>
      <w:r w:rsidR="00643BCF">
        <w:rPr>
          <w:lang w:val="en-GB"/>
        </w:rPr>
        <w:t xml:space="preserve">Consider semi-statically configured, guaranteed allocation of certain time/frequency resources to </w:t>
      </w:r>
      <w:r w:rsidR="0021689E">
        <w:rPr>
          <w:lang w:val="en-GB"/>
        </w:rPr>
        <w:t xml:space="preserve">NR PUCCH and PRACH </w:t>
      </w:r>
      <w:r w:rsidR="00643BCF">
        <w:rPr>
          <w:lang w:val="en-GB"/>
        </w:rPr>
        <w:t>to allow simpler management of DL HARQ processes and timeline as well as to minimize latency impact on NR operation.</w:t>
      </w:r>
      <w:r w:rsidR="00194959" w:rsidRPr="000636B0">
        <w:rPr>
          <w:lang w:val="en-GB"/>
        </w:rPr>
        <w:t xml:space="preserve"> </w:t>
      </w:r>
    </w:p>
    <w:p w14:paraId="2EDAE669" w14:textId="00D75FBD" w:rsidR="002F3F2A" w:rsidRDefault="00194959" w:rsidP="00194959">
      <w:pPr>
        <w:pStyle w:val="ListParagraph"/>
        <w:numPr>
          <w:ilvl w:val="0"/>
          <w:numId w:val="31"/>
        </w:numPr>
        <w:rPr>
          <w:rFonts w:ascii="Times New Roman" w:hAnsi="Times New Roman"/>
          <w:sz w:val="20"/>
          <w:lang w:val="en-GB"/>
        </w:rPr>
      </w:pPr>
      <w:r>
        <w:rPr>
          <w:rFonts w:ascii="Times New Roman" w:hAnsi="Times New Roman"/>
          <w:sz w:val="20"/>
          <w:lang w:val="en-GB"/>
        </w:rPr>
        <w:t xml:space="preserve">RACH: </w:t>
      </w:r>
      <w:r w:rsidRPr="00194959">
        <w:rPr>
          <w:rFonts w:ascii="Times New Roman" w:hAnsi="Times New Roman"/>
          <w:sz w:val="20"/>
          <w:lang w:val="en-GB"/>
        </w:rPr>
        <w:t xml:space="preserve">For reliable NR random access performance, it would be beneficial for LTE to semi-statically reserve the resources configured by NR as RACH. </w:t>
      </w:r>
      <w:r w:rsidR="00E218C4">
        <w:rPr>
          <w:rFonts w:ascii="Times New Roman" w:hAnsi="Times New Roman"/>
          <w:sz w:val="20"/>
          <w:lang w:val="en-GB"/>
        </w:rPr>
        <w:t xml:space="preserve">This would help eliminate the need for NR UEs to be dynamically notified about the NR resource availability in each slot without compromising RACH performance. </w:t>
      </w:r>
    </w:p>
    <w:p w14:paraId="316B0E37" w14:textId="77777777" w:rsidR="002F3F2A" w:rsidRPr="002F3F2A" w:rsidRDefault="002F3F2A" w:rsidP="002F3F2A">
      <w:pPr>
        <w:pStyle w:val="ListParagraph"/>
        <w:rPr>
          <w:rFonts w:ascii="Times New Roman" w:hAnsi="Times New Roman"/>
          <w:sz w:val="20"/>
          <w:lang w:val="en-GB"/>
        </w:rPr>
      </w:pPr>
    </w:p>
    <w:p w14:paraId="0440A8E3" w14:textId="6940A0DB" w:rsidR="00F40C41" w:rsidRDefault="000B62E5" w:rsidP="00194959">
      <w:pPr>
        <w:pStyle w:val="ListParagraph"/>
        <w:numPr>
          <w:ilvl w:val="0"/>
          <w:numId w:val="31"/>
        </w:numPr>
        <w:rPr>
          <w:rFonts w:ascii="Times New Roman" w:hAnsi="Times New Roman"/>
          <w:sz w:val="20"/>
          <w:lang w:val="en-GB"/>
        </w:rPr>
      </w:pPr>
      <w:r>
        <w:rPr>
          <w:rFonts w:ascii="Times New Roman" w:hAnsi="Times New Roman"/>
          <w:sz w:val="20"/>
          <w:lang w:val="en-GB"/>
        </w:rPr>
        <w:t>PUCCH</w:t>
      </w:r>
      <w:r w:rsidR="002F3F2A">
        <w:rPr>
          <w:rFonts w:ascii="Times New Roman" w:hAnsi="Times New Roman"/>
          <w:sz w:val="20"/>
          <w:lang w:val="en-GB"/>
        </w:rPr>
        <w:t xml:space="preserve">: LTE may also need to vacate resources semi-statically </w:t>
      </w:r>
      <w:r w:rsidR="00F40C41">
        <w:rPr>
          <w:rFonts w:ascii="Times New Roman" w:hAnsi="Times New Roman"/>
          <w:sz w:val="20"/>
          <w:lang w:val="en-GB"/>
        </w:rPr>
        <w:t>to guarantee the reserved resource for NR PUCCH transmission. This improves the latency that NR can achieve, simplifies the HARQ design and avoid the complexity of dynamic control resource allocation between LTE and NR.</w:t>
      </w:r>
    </w:p>
    <w:p w14:paraId="5541D0AB" w14:textId="77777777" w:rsidR="00F40C41" w:rsidRPr="0098592E" w:rsidRDefault="00F40C41" w:rsidP="0098592E">
      <w:pPr>
        <w:pStyle w:val="ListParagraph"/>
        <w:rPr>
          <w:rFonts w:ascii="Times New Roman" w:hAnsi="Times New Roman"/>
          <w:sz w:val="20"/>
          <w:lang w:val="en-GB"/>
        </w:rPr>
      </w:pPr>
    </w:p>
    <w:p w14:paraId="280F0CEA" w14:textId="14CE94C6" w:rsidR="00DD7DD8" w:rsidRDefault="00250EC3" w:rsidP="00DD7DD8">
      <w:pPr>
        <w:rPr>
          <w:lang w:val="en-GB"/>
        </w:rPr>
      </w:pPr>
      <w:r>
        <w:rPr>
          <w:lang w:val="en-GB"/>
        </w:rPr>
        <w:t>Taking into account the above considerations to minimize performance impact, NR and LTE UL schedulers can coordinate scheduling of UL resources.</w:t>
      </w:r>
      <w:r w:rsidR="00E218C4">
        <w:rPr>
          <w:lang w:val="en-GB"/>
        </w:rPr>
        <w:t xml:space="preserve"> Note that this type of TDM resource sharing could impact the latency of both LTE and NR systems.</w:t>
      </w:r>
    </w:p>
    <w:p w14:paraId="40B2967E" w14:textId="17F6A6BB" w:rsidR="00CC6083" w:rsidRDefault="00CC6083" w:rsidP="00DD7DD8">
      <w:pPr>
        <w:rPr>
          <w:lang w:val="en-GB"/>
        </w:rPr>
      </w:pPr>
      <w:r>
        <w:rPr>
          <w:lang w:val="en-GB"/>
        </w:rPr>
        <w:t>Lastly, we discussion the sharing of the NR and LTE SRS. For LTE operation, NW can configure the SRS with certain transmission periodicity. Since we focus on the co</w:t>
      </w:r>
      <w:r w:rsidR="005979A4">
        <w:rPr>
          <w:lang w:val="en-GB"/>
        </w:rPr>
        <w:t>l</w:t>
      </w:r>
      <w:r>
        <w:rPr>
          <w:lang w:val="en-GB"/>
        </w:rPr>
        <w:t>located LTE/NR deployment, NW can tight</w:t>
      </w:r>
      <w:r w:rsidR="005979A4">
        <w:rPr>
          <w:lang w:val="en-GB"/>
        </w:rPr>
        <w:t>ly</w:t>
      </w:r>
      <w:r>
        <w:rPr>
          <w:lang w:val="en-GB"/>
        </w:rPr>
        <w:t xml:space="preserve"> control and schedule the SRS transmission of both LTE and NR</w:t>
      </w:r>
      <w:r w:rsidR="00734A88">
        <w:rPr>
          <w:lang w:val="en-GB"/>
        </w:rPr>
        <w:t xml:space="preserve"> to ensure that they do not have to collide in the same symbol. Theref</w:t>
      </w:r>
      <w:r>
        <w:rPr>
          <w:lang w:val="en-GB"/>
        </w:rPr>
        <w:t xml:space="preserve">ore the last symbol </w:t>
      </w:r>
      <w:r w:rsidR="009F133E">
        <w:rPr>
          <w:lang w:val="en-GB"/>
        </w:rPr>
        <w:t xml:space="preserve">of LTE subframe </w:t>
      </w:r>
      <w:r>
        <w:rPr>
          <w:lang w:val="en-GB"/>
        </w:rPr>
        <w:t xml:space="preserve">can be TDM’ed between LTE and NR </w:t>
      </w:r>
      <w:r w:rsidR="000D4ED2">
        <w:rPr>
          <w:lang w:val="en-GB"/>
        </w:rPr>
        <w:t xml:space="preserve">SRS transmission </w:t>
      </w:r>
      <w:r>
        <w:rPr>
          <w:lang w:val="en-GB"/>
        </w:rPr>
        <w:t>based on LTE and NR SRS scheduling.</w:t>
      </w:r>
    </w:p>
    <w:p w14:paraId="061C96AA" w14:textId="13882E90" w:rsidR="00CC6083" w:rsidRPr="000636B0" w:rsidRDefault="00CC6083" w:rsidP="00CC6083">
      <w:pPr>
        <w:rPr>
          <w:lang w:val="en-GB"/>
        </w:rPr>
      </w:pPr>
      <w:r>
        <w:rPr>
          <w:b/>
          <w:u w:val="single"/>
          <w:lang w:val="en-GB"/>
        </w:rPr>
        <w:t>Proposal 7</w:t>
      </w:r>
      <w:r w:rsidRPr="00643BCF">
        <w:rPr>
          <w:b/>
          <w:u w:val="single"/>
          <w:lang w:val="en-GB"/>
        </w:rPr>
        <w:t>:</w:t>
      </w:r>
      <w:r w:rsidRPr="00643BCF">
        <w:rPr>
          <w:b/>
          <w:lang w:val="en-GB"/>
        </w:rPr>
        <w:t xml:space="preserve"> </w:t>
      </w:r>
      <w:r w:rsidR="009F133E">
        <w:rPr>
          <w:lang w:val="en-GB"/>
        </w:rPr>
        <w:t xml:space="preserve">The last symbol of LTE subframe can be </w:t>
      </w:r>
      <w:r w:rsidR="000C5528">
        <w:rPr>
          <w:lang w:val="en-GB"/>
        </w:rPr>
        <w:t>TDM’</w:t>
      </w:r>
      <w:r w:rsidR="0098592E">
        <w:rPr>
          <w:lang w:val="en-GB"/>
        </w:rPr>
        <w:t>e</w:t>
      </w:r>
      <w:r w:rsidR="000C5528">
        <w:rPr>
          <w:lang w:val="en-GB"/>
        </w:rPr>
        <w:t>d</w:t>
      </w:r>
      <w:r w:rsidR="009F133E">
        <w:rPr>
          <w:lang w:val="en-GB"/>
        </w:rPr>
        <w:t xml:space="preserve"> between LTE and </w:t>
      </w:r>
      <w:r w:rsidR="000D4ED2">
        <w:rPr>
          <w:lang w:val="en-GB"/>
        </w:rPr>
        <w:t>NR SRS transmission</w:t>
      </w:r>
      <w:r w:rsidR="009F133E">
        <w:rPr>
          <w:lang w:val="en-GB"/>
        </w:rPr>
        <w:t xml:space="preserve"> based on LTE and NR SRS scheduling.</w:t>
      </w:r>
    </w:p>
    <w:p w14:paraId="5D42F24B" w14:textId="77777777" w:rsidR="00E769DB" w:rsidRDefault="00E769DB" w:rsidP="00E769DB">
      <w:pPr>
        <w:pStyle w:val="Heading1"/>
        <w:rPr>
          <w:lang w:eastAsia="zh-CN"/>
        </w:rPr>
      </w:pPr>
      <w:r>
        <w:rPr>
          <w:lang w:eastAsia="zh-CN"/>
        </w:rPr>
        <w:t>Conclusions</w:t>
      </w:r>
    </w:p>
    <w:p w14:paraId="7AC96A6E" w14:textId="4AD7A9C6" w:rsidR="002C61E6" w:rsidRDefault="002C61E6" w:rsidP="002C61E6">
      <w:pPr>
        <w:rPr>
          <w:lang w:val="en-GB" w:eastAsia="zh-CN"/>
        </w:rPr>
      </w:pPr>
      <w:r>
        <w:rPr>
          <w:lang w:val="en-GB" w:eastAsia="zh-CN"/>
        </w:rPr>
        <w:t>In this contributions, we focus on the LTE NR co-channel coexistence designs, with the following proposals</w:t>
      </w:r>
    </w:p>
    <w:p w14:paraId="708BEEF0" w14:textId="6F323E4E" w:rsidR="002C61E6" w:rsidRDefault="002C61E6" w:rsidP="002C61E6">
      <w:pPr>
        <w:rPr>
          <w:lang w:val="en-GB"/>
        </w:rPr>
      </w:pPr>
      <w:r w:rsidRPr="00097675">
        <w:rPr>
          <w:b/>
          <w:u w:val="single"/>
          <w:lang w:val="en-GB"/>
        </w:rPr>
        <w:t xml:space="preserve">Proposal </w:t>
      </w:r>
      <w:r>
        <w:rPr>
          <w:b/>
          <w:u w:val="single"/>
          <w:lang w:val="en-GB"/>
        </w:rPr>
        <w:t>1:</w:t>
      </w:r>
      <w:r>
        <w:rPr>
          <w:lang w:val="en-GB"/>
        </w:rPr>
        <w:t xml:space="preserve"> For TDM-based NR LTE DL coexistence, focus on the coexistence solution using MBSFN subframe where NR transmission avoids the first two symbols of LTE MBSFN subframes</w:t>
      </w:r>
    </w:p>
    <w:p w14:paraId="5CF74CAD" w14:textId="410887B5" w:rsidR="002660BC" w:rsidRDefault="002C61E6" w:rsidP="002660BC">
      <w:pPr>
        <w:rPr>
          <w:lang w:val="en-GB"/>
        </w:rPr>
      </w:pPr>
      <w:r>
        <w:rPr>
          <w:b/>
          <w:u w:val="single"/>
          <w:lang w:val="en-GB"/>
        </w:rPr>
        <w:t>Proposal 2</w:t>
      </w:r>
      <w:r w:rsidR="002660BC" w:rsidRPr="008D105E">
        <w:rPr>
          <w:b/>
          <w:u w:val="single"/>
          <w:lang w:val="en-GB"/>
        </w:rPr>
        <w:t>:</w:t>
      </w:r>
      <w:r w:rsidR="002660BC">
        <w:rPr>
          <w:lang w:val="en-GB"/>
        </w:rPr>
        <w:t xml:space="preserve"> For MBSFN subframe resource sharing between NR and LTE, NR transmissions can blank out the first few symbols of the corresponding NR slot. Alternatively, NR radio frame boundary can be shifted to avoid the collision of NR control region with LTE MBSFN control region.</w:t>
      </w:r>
    </w:p>
    <w:p w14:paraId="4280EDC7" w14:textId="6AD9956E" w:rsidR="000636B0" w:rsidRPr="00006CBD" w:rsidRDefault="0020399F" w:rsidP="000636B0">
      <w:r>
        <w:rPr>
          <w:b/>
          <w:u w:val="single"/>
        </w:rPr>
        <w:t>Proposal 3</w:t>
      </w:r>
      <w:r w:rsidR="000636B0" w:rsidRPr="00930276">
        <w:rPr>
          <w:b/>
          <w:u w:val="single"/>
        </w:rPr>
        <w:t>:</w:t>
      </w:r>
      <w:r w:rsidR="000636B0">
        <w:t xml:space="preserve"> Consider shifting the NR raster by 7.5 kHz such that UL tones of LTE and NR (15 kHz SCS) can be aligned for efficient co-existence of the two RATs within the same uplink carrier. </w:t>
      </w:r>
    </w:p>
    <w:p w14:paraId="5F3E0346" w14:textId="04F48972" w:rsidR="000636B0" w:rsidRPr="00480ADC" w:rsidRDefault="000636B0" w:rsidP="000636B0">
      <w:pPr>
        <w:rPr>
          <w:u w:val="single"/>
          <w:lang w:val="en-GB"/>
        </w:rPr>
      </w:pPr>
      <w:r w:rsidRPr="00643BCF">
        <w:rPr>
          <w:b/>
          <w:u w:val="single"/>
          <w:lang w:val="en-GB"/>
        </w:rPr>
        <w:t xml:space="preserve">Proposal </w:t>
      </w:r>
      <w:r w:rsidR="0020399F">
        <w:rPr>
          <w:b/>
          <w:u w:val="single"/>
          <w:lang w:val="en-GB"/>
        </w:rPr>
        <w:t>4</w:t>
      </w:r>
      <w:r w:rsidRPr="00643BCF">
        <w:rPr>
          <w:b/>
          <w:lang w:val="en-GB"/>
        </w:rPr>
        <w:t>:</w:t>
      </w:r>
      <w:r w:rsidRPr="00480ADC">
        <w:rPr>
          <w:lang w:val="en-GB"/>
        </w:rPr>
        <w:t xml:space="preserve"> </w:t>
      </w:r>
      <w:r>
        <w:rPr>
          <w:lang w:val="en-GB"/>
        </w:rPr>
        <w:t xml:space="preserve">Consider </w:t>
      </w:r>
      <w:r w:rsidRPr="00480ADC">
        <w:rPr>
          <w:lang w:val="en-GB"/>
        </w:rPr>
        <w:t>NR UL</w:t>
      </w:r>
      <w:r>
        <w:rPr>
          <w:lang w:val="en-GB"/>
        </w:rPr>
        <w:t xml:space="preserve"> to support a slot structure that allows blanking symbols that coincide with LTE SRS transmissions.</w:t>
      </w:r>
    </w:p>
    <w:p w14:paraId="36A81BA3" w14:textId="028DAFC2" w:rsidR="000636B0" w:rsidRDefault="000636B0" w:rsidP="000636B0">
      <w:pPr>
        <w:rPr>
          <w:lang w:val="en-GB"/>
        </w:rPr>
      </w:pPr>
      <w:r w:rsidRPr="00643BCF">
        <w:rPr>
          <w:b/>
          <w:u w:val="single"/>
          <w:lang w:val="en-GB"/>
        </w:rPr>
        <w:t xml:space="preserve">Proposal </w:t>
      </w:r>
      <w:r w:rsidR="0020399F">
        <w:rPr>
          <w:b/>
          <w:u w:val="single"/>
          <w:lang w:val="en-GB"/>
        </w:rPr>
        <w:t>5</w:t>
      </w:r>
      <w:r w:rsidRPr="00643BCF">
        <w:rPr>
          <w:b/>
          <w:lang w:val="en-GB"/>
        </w:rPr>
        <w:t>:</w:t>
      </w:r>
      <w:r>
        <w:rPr>
          <w:lang w:val="en-GB"/>
        </w:rPr>
        <w:t xml:space="preserve"> Consider NR and LTE to share RRC-configuration information regarding PRACH and SRS configurations in order to identify orthogonal time and frequency resources in a semi-static fashion.</w:t>
      </w:r>
    </w:p>
    <w:p w14:paraId="5C6C7FB6" w14:textId="59C96692" w:rsidR="000636B0" w:rsidRDefault="000636B0" w:rsidP="000636B0">
      <w:pPr>
        <w:rPr>
          <w:lang w:val="en-GB"/>
        </w:rPr>
      </w:pPr>
      <w:r>
        <w:rPr>
          <w:b/>
          <w:u w:val="single"/>
          <w:lang w:val="en-GB"/>
        </w:rPr>
        <w:t>Proposal</w:t>
      </w:r>
      <w:r w:rsidR="0020399F">
        <w:rPr>
          <w:b/>
          <w:u w:val="single"/>
          <w:lang w:val="en-GB"/>
        </w:rPr>
        <w:t xml:space="preserve"> 6</w:t>
      </w:r>
      <w:r w:rsidRPr="00643BCF">
        <w:rPr>
          <w:b/>
          <w:u w:val="single"/>
          <w:lang w:val="en-GB"/>
        </w:rPr>
        <w:t>:</w:t>
      </w:r>
      <w:r w:rsidRPr="00643BCF">
        <w:rPr>
          <w:b/>
          <w:lang w:val="en-GB"/>
        </w:rPr>
        <w:t xml:space="preserve"> </w:t>
      </w:r>
      <w:r>
        <w:rPr>
          <w:lang w:val="en-GB"/>
        </w:rPr>
        <w:t>Consider semi-statically configured, guaranteed allocation of certain time/frequency resources to NR PUCCH and PRACH to allow simpler management of DL HARQ processes and timeline as well as to minimize latency impact on NR operation.</w:t>
      </w:r>
      <w:r w:rsidRPr="000636B0">
        <w:rPr>
          <w:lang w:val="en-GB"/>
        </w:rPr>
        <w:t xml:space="preserve"> </w:t>
      </w:r>
    </w:p>
    <w:p w14:paraId="1BEBA3F8" w14:textId="6A6F0E45" w:rsidR="001B56DE" w:rsidRPr="000636B0" w:rsidRDefault="001B56DE" w:rsidP="001B56DE">
      <w:pPr>
        <w:rPr>
          <w:lang w:val="en-GB"/>
        </w:rPr>
      </w:pPr>
      <w:r>
        <w:rPr>
          <w:b/>
          <w:u w:val="single"/>
          <w:lang w:val="en-GB"/>
        </w:rPr>
        <w:t>Proposal 7</w:t>
      </w:r>
      <w:r w:rsidRPr="00643BCF">
        <w:rPr>
          <w:b/>
          <w:u w:val="single"/>
          <w:lang w:val="en-GB"/>
        </w:rPr>
        <w:t>:</w:t>
      </w:r>
      <w:r w:rsidRPr="00643BCF">
        <w:rPr>
          <w:b/>
          <w:lang w:val="en-GB"/>
        </w:rPr>
        <w:t xml:space="preserve"> </w:t>
      </w:r>
      <w:r>
        <w:rPr>
          <w:lang w:val="en-GB"/>
        </w:rPr>
        <w:t xml:space="preserve">The last symbol of LTE subframe can be </w:t>
      </w:r>
      <w:r w:rsidR="000C5528">
        <w:rPr>
          <w:lang w:val="en-GB"/>
        </w:rPr>
        <w:t>TDM’</w:t>
      </w:r>
      <w:r w:rsidR="0098592E">
        <w:rPr>
          <w:lang w:val="en-GB"/>
        </w:rPr>
        <w:t>e</w:t>
      </w:r>
      <w:r w:rsidR="000C5528">
        <w:rPr>
          <w:lang w:val="en-GB"/>
        </w:rPr>
        <w:t>d</w:t>
      </w:r>
      <w:r>
        <w:rPr>
          <w:lang w:val="en-GB"/>
        </w:rPr>
        <w:t xml:space="preserve"> between LTE and NR SRS transmission based on LTE and NR SRS scheduling.</w:t>
      </w:r>
    </w:p>
    <w:p w14:paraId="446C4E8C" w14:textId="77777777" w:rsidR="00E769DB" w:rsidRPr="000A64D8" w:rsidRDefault="00E769DB" w:rsidP="00E769DB">
      <w:pPr>
        <w:pStyle w:val="Heading1"/>
        <w:rPr>
          <w:lang w:val="en-US"/>
        </w:rPr>
      </w:pPr>
      <w:r w:rsidRPr="000A64D8">
        <w:rPr>
          <w:lang w:val="en-US"/>
        </w:rPr>
        <w:lastRenderedPageBreak/>
        <w:t>References</w:t>
      </w:r>
    </w:p>
    <w:p w14:paraId="0A0E1C77" w14:textId="3F341057" w:rsidR="00E769DB" w:rsidRDefault="00E769DB" w:rsidP="00E769DB">
      <w:pPr>
        <w:numPr>
          <w:ilvl w:val="0"/>
          <w:numId w:val="2"/>
        </w:numPr>
        <w:spacing w:before="100" w:beforeAutospacing="1" w:after="100" w:afterAutospacing="1"/>
        <w:rPr>
          <w:szCs w:val="22"/>
        </w:rPr>
      </w:pPr>
      <w:bookmarkStart w:id="4" w:name="_Ref478114136"/>
      <w:r>
        <w:rPr>
          <w:szCs w:val="22"/>
        </w:rPr>
        <w:t xml:space="preserve">RAN1 </w:t>
      </w:r>
      <w:r w:rsidR="003924A5">
        <w:rPr>
          <w:szCs w:val="22"/>
        </w:rPr>
        <w:t xml:space="preserve">AdHoc Jan 2017 Spokane </w:t>
      </w:r>
      <w:r>
        <w:rPr>
          <w:szCs w:val="22"/>
        </w:rPr>
        <w:t>Chairman’s Notes</w:t>
      </w:r>
      <w:bookmarkEnd w:id="4"/>
      <w:r w:rsidRPr="003D5B67" w:rsidDel="00F80654">
        <w:rPr>
          <w:szCs w:val="22"/>
        </w:rPr>
        <w:t xml:space="preserve"> </w:t>
      </w:r>
    </w:p>
    <w:p w14:paraId="3CB56292" w14:textId="3B93A451" w:rsidR="00E769DB" w:rsidRPr="00AF41E1" w:rsidRDefault="00E769DB" w:rsidP="009F4772">
      <w:pPr>
        <w:numPr>
          <w:ilvl w:val="0"/>
          <w:numId w:val="2"/>
        </w:numPr>
        <w:spacing w:before="100" w:beforeAutospacing="1" w:after="100" w:afterAutospacing="1"/>
        <w:rPr>
          <w:szCs w:val="22"/>
        </w:rPr>
      </w:pPr>
      <w:bookmarkStart w:id="5" w:name="_Ref477947118"/>
      <w:r w:rsidRPr="00AF41E1">
        <w:rPr>
          <w:szCs w:val="22"/>
        </w:rPr>
        <w:t>R1-</w:t>
      </w:r>
      <w:r w:rsidR="00AF41E1" w:rsidRPr="00AF41E1">
        <w:rPr>
          <w:szCs w:val="22"/>
        </w:rPr>
        <w:t>1705642</w:t>
      </w:r>
      <w:r w:rsidRPr="00AF41E1">
        <w:rPr>
          <w:szCs w:val="22"/>
        </w:rPr>
        <w:t>, “</w:t>
      </w:r>
      <w:r w:rsidR="009F4772" w:rsidRPr="00AF41E1">
        <w:rPr>
          <w:szCs w:val="22"/>
        </w:rPr>
        <w:t>NR LTE Adjacent Channel Coexistence Consideration</w:t>
      </w:r>
      <w:r w:rsidRPr="00AF41E1">
        <w:rPr>
          <w:szCs w:val="22"/>
        </w:rPr>
        <w:t xml:space="preserve">”, Qualcomm Incorporated, RAN1 </w:t>
      </w:r>
      <w:r w:rsidR="009F4772" w:rsidRPr="00AF41E1">
        <w:rPr>
          <w:szCs w:val="22"/>
        </w:rPr>
        <w:t xml:space="preserve">Bis Apr </w:t>
      </w:r>
      <w:r w:rsidR="0000318E" w:rsidRPr="00AF41E1">
        <w:rPr>
          <w:szCs w:val="22"/>
        </w:rPr>
        <w:t>2017 Spokane</w:t>
      </w:r>
      <w:bookmarkEnd w:id="5"/>
    </w:p>
    <w:p w14:paraId="159357BA" w14:textId="77777777" w:rsidR="00E769DB" w:rsidRPr="00DF5588" w:rsidRDefault="00E769DB" w:rsidP="00E769DB">
      <w:pPr>
        <w:rPr>
          <w:szCs w:val="22"/>
        </w:rPr>
      </w:pPr>
    </w:p>
    <w:p w14:paraId="3935C235" w14:textId="0C1B4E99" w:rsidR="003E13D0" w:rsidRPr="00DF5588" w:rsidRDefault="003E13D0" w:rsidP="008149C9">
      <w:pPr>
        <w:rPr>
          <w:szCs w:val="22"/>
        </w:rPr>
      </w:pPr>
    </w:p>
    <w:sectPr w:rsidR="003E13D0" w:rsidRPr="00DF558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B8568" w14:textId="77777777" w:rsidR="00DD1F9B" w:rsidRDefault="00DD1F9B">
      <w:r>
        <w:separator/>
      </w:r>
    </w:p>
  </w:endnote>
  <w:endnote w:type="continuationSeparator" w:id="0">
    <w:p w14:paraId="173E70EE" w14:textId="77777777" w:rsidR="00DD1F9B" w:rsidRDefault="00DD1F9B">
      <w:r>
        <w:continuationSeparator/>
      </w:r>
    </w:p>
  </w:endnote>
  <w:endnote w:type="continuationNotice" w:id="1">
    <w:p w14:paraId="146E6908" w14:textId="77777777" w:rsidR="00DD1F9B" w:rsidRDefault="00DD1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A5AA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5AA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1F1DF" w14:textId="77777777" w:rsidR="00DD1F9B" w:rsidRDefault="00DD1F9B">
      <w:r>
        <w:separator/>
      </w:r>
    </w:p>
  </w:footnote>
  <w:footnote w:type="continuationSeparator" w:id="0">
    <w:p w14:paraId="682A9034" w14:textId="77777777" w:rsidR="00DD1F9B" w:rsidRDefault="00DD1F9B">
      <w:r>
        <w:continuationSeparator/>
      </w:r>
    </w:p>
  </w:footnote>
  <w:footnote w:type="continuationNotice" w:id="1">
    <w:p w14:paraId="292E4AED" w14:textId="77777777" w:rsidR="00DD1F9B" w:rsidRDefault="00DD1F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7250EA"/>
    <w:multiLevelType w:val="hybridMultilevel"/>
    <w:tmpl w:val="ED02ED64"/>
    <w:lvl w:ilvl="0" w:tplc="933E1FC4">
      <w:start w:val="1"/>
      <w:numFmt w:val="bullet"/>
      <w:lvlText w:val="•"/>
      <w:lvlJc w:val="left"/>
      <w:pPr>
        <w:tabs>
          <w:tab w:val="num" w:pos="720"/>
        </w:tabs>
        <w:ind w:left="720" w:hanging="360"/>
      </w:pPr>
      <w:rPr>
        <w:rFonts w:ascii="Arial" w:hAnsi="Arial" w:hint="default"/>
      </w:rPr>
    </w:lvl>
    <w:lvl w:ilvl="1" w:tplc="251E4358">
      <w:start w:val="78"/>
      <w:numFmt w:val="bullet"/>
      <w:lvlText w:val="–"/>
      <w:lvlJc w:val="left"/>
      <w:pPr>
        <w:tabs>
          <w:tab w:val="num" w:pos="1440"/>
        </w:tabs>
        <w:ind w:left="1440" w:hanging="360"/>
      </w:pPr>
      <w:rPr>
        <w:rFonts w:ascii="Arial" w:hAnsi="Arial" w:hint="default"/>
      </w:rPr>
    </w:lvl>
    <w:lvl w:ilvl="2" w:tplc="10D4D5E0" w:tentative="1">
      <w:start w:val="1"/>
      <w:numFmt w:val="bullet"/>
      <w:lvlText w:val="•"/>
      <w:lvlJc w:val="left"/>
      <w:pPr>
        <w:tabs>
          <w:tab w:val="num" w:pos="2160"/>
        </w:tabs>
        <w:ind w:left="2160" w:hanging="360"/>
      </w:pPr>
      <w:rPr>
        <w:rFonts w:ascii="Arial" w:hAnsi="Arial" w:hint="default"/>
      </w:rPr>
    </w:lvl>
    <w:lvl w:ilvl="3" w:tplc="69B0DD94" w:tentative="1">
      <w:start w:val="1"/>
      <w:numFmt w:val="bullet"/>
      <w:lvlText w:val="•"/>
      <w:lvlJc w:val="left"/>
      <w:pPr>
        <w:tabs>
          <w:tab w:val="num" w:pos="2880"/>
        </w:tabs>
        <w:ind w:left="2880" w:hanging="360"/>
      </w:pPr>
      <w:rPr>
        <w:rFonts w:ascii="Arial" w:hAnsi="Arial" w:hint="default"/>
      </w:rPr>
    </w:lvl>
    <w:lvl w:ilvl="4" w:tplc="25F6BF08" w:tentative="1">
      <w:start w:val="1"/>
      <w:numFmt w:val="bullet"/>
      <w:lvlText w:val="•"/>
      <w:lvlJc w:val="left"/>
      <w:pPr>
        <w:tabs>
          <w:tab w:val="num" w:pos="3600"/>
        </w:tabs>
        <w:ind w:left="3600" w:hanging="360"/>
      </w:pPr>
      <w:rPr>
        <w:rFonts w:ascii="Arial" w:hAnsi="Arial" w:hint="default"/>
      </w:rPr>
    </w:lvl>
    <w:lvl w:ilvl="5" w:tplc="3E968158" w:tentative="1">
      <w:start w:val="1"/>
      <w:numFmt w:val="bullet"/>
      <w:lvlText w:val="•"/>
      <w:lvlJc w:val="left"/>
      <w:pPr>
        <w:tabs>
          <w:tab w:val="num" w:pos="4320"/>
        </w:tabs>
        <w:ind w:left="4320" w:hanging="360"/>
      </w:pPr>
      <w:rPr>
        <w:rFonts w:ascii="Arial" w:hAnsi="Arial" w:hint="default"/>
      </w:rPr>
    </w:lvl>
    <w:lvl w:ilvl="6" w:tplc="9824298E" w:tentative="1">
      <w:start w:val="1"/>
      <w:numFmt w:val="bullet"/>
      <w:lvlText w:val="•"/>
      <w:lvlJc w:val="left"/>
      <w:pPr>
        <w:tabs>
          <w:tab w:val="num" w:pos="5040"/>
        </w:tabs>
        <w:ind w:left="5040" w:hanging="360"/>
      </w:pPr>
      <w:rPr>
        <w:rFonts w:ascii="Arial" w:hAnsi="Arial" w:hint="default"/>
      </w:rPr>
    </w:lvl>
    <w:lvl w:ilvl="7" w:tplc="96FCDDD6" w:tentative="1">
      <w:start w:val="1"/>
      <w:numFmt w:val="bullet"/>
      <w:lvlText w:val="•"/>
      <w:lvlJc w:val="left"/>
      <w:pPr>
        <w:tabs>
          <w:tab w:val="num" w:pos="5760"/>
        </w:tabs>
        <w:ind w:left="5760" w:hanging="360"/>
      </w:pPr>
      <w:rPr>
        <w:rFonts w:ascii="Arial" w:hAnsi="Arial" w:hint="default"/>
      </w:rPr>
    </w:lvl>
    <w:lvl w:ilvl="8" w:tplc="0D9C9F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start w:val="1"/>
      <w:numFmt w:val="bullet"/>
      <w:lvlText w:val="•"/>
      <w:lvlJc w:val="left"/>
      <w:pPr>
        <w:tabs>
          <w:tab w:val="num" w:pos="1800"/>
        </w:tabs>
        <w:ind w:left="1800" w:hanging="360"/>
      </w:pPr>
      <w:rPr>
        <w:rFonts w:ascii="Arial" w:hAnsi="Arial" w:hint="default"/>
      </w:rPr>
    </w:lvl>
    <w:lvl w:ilvl="3" w:tplc="176ABFF4">
      <w:start w:val="1"/>
      <w:numFmt w:val="bullet"/>
      <w:lvlText w:val="•"/>
      <w:lvlJc w:val="left"/>
      <w:pPr>
        <w:tabs>
          <w:tab w:val="num" w:pos="2520"/>
        </w:tabs>
        <w:ind w:left="2520" w:hanging="360"/>
      </w:pPr>
      <w:rPr>
        <w:rFonts w:ascii="Arial" w:hAnsi="Arial" w:hint="default"/>
      </w:rPr>
    </w:lvl>
    <w:lvl w:ilvl="4" w:tplc="A2DEB1B6">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75D6C68"/>
    <w:multiLevelType w:val="hybridMultilevel"/>
    <w:tmpl w:val="71C64510"/>
    <w:lvl w:ilvl="0" w:tplc="C2F6DD76">
      <w:start w:val="3"/>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5"/>
  </w:num>
  <w:num w:numId="4">
    <w:abstractNumId w:val="16"/>
  </w:num>
  <w:num w:numId="5">
    <w:abstractNumId w:val="6"/>
  </w:num>
  <w:num w:numId="6">
    <w:abstractNumId w:val="9"/>
  </w:num>
  <w:num w:numId="7">
    <w:abstractNumId w:val="10"/>
  </w:num>
  <w:num w:numId="8">
    <w:abstractNumId w:val="2"/>
  </w:num>
  <w:num w:numId="9">
    <w:abstractNumId w:val="33"/>
    <w:lvlOverride w:ilvl="0">
      <w:startOverride w:val="1"/>
    </w:lvlOverride>
  </w:num>
  <w:num w:numId="10">
    <w:abstractNumId w:val="19"/>
  </w:num>
  <w:num w:numId="11">
    <w:abstractNumId w:val="26"/>
  </w:num>
  <w:num w:numId="12">
    <w:abstractNumId w:val="28"/>
  </w:num>
  <w:num w:numId="13">
    <w:abstractNumId w:val="17"/>
  </w:num>
  <w:num w:numId="14">
    <w:abstractNumId w:val="22"/>
  </w:num>
  <w:num w:numId="15">
    <w:abstractNumId w:val="4"/>
  </w:num>
  <w:num w:numId="16">
    <w:abstractNumId w:val="29"/>
  </w:num>
  <w:num w:numId="17">
    <w:abstractNumId w:val="8"/>
  </w:num>
  <w:num w:numId="18">
    <w:abstractNumId w:val="27"/>
  </w:num>
  <w:num w:numId="19">
    <w:abstractNumId w:val="11"/>
  </w:num>
  <w:num w:numId="20">
    <w:abstractNumId w:val="31"/>
  </w:num>
  <w:num w:numId="21">
    <w:abstractNumId w:val="20"/>
  </w:num>
  <w:num w:numId="22">
    <w:abstractNumId w:val="3"/>
  </w:num>
  <w:num w:numId="23">
    <w:abstractNumId w:val="18"/>
  </w:num>
  <w:num w:numId="24">
    <w:abstractNumId w:val="24"/>
  </w:num>
  <w:num w:numId="25">
    <w:abstractNumId w:val="12"/>
  </w:num>
  <w:num w:numId="26">
    <w:abstractNumId w:val="15"/>
  </w:num>
  <w:num w:numId="27">
    <w:abstractNumId w:val="14"/>
  </w:num>
  <w:num w:numId="28">
    <w:abstractNumId w:val="25"/>
  </w:num>
  <w:num w:numId="29">
    <w:abstractNumId w:val="30"/>
  </w:num>
  <w:num w:numId="30">
    <w:abstractNumId w:val="1"/>
  </w:num>
  <w:num w:numId="31">
    <w:abstractNumId w:val="32"/>
  </w:num>
  <w:num w:numId="32">
    <w:abstractNumId w:val="21"/>
  </w:num>
  <w:num w:numId="33">
    <w:abstractNumId w:val="7"/>
  </w:num>
  <w:num w:numId="3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18E"/>
    <w:rsid w:val="00003227"/>
    <w:rsid w:val="000037FB"/>
    <w:rsid w:val="00003EF4"/>
    <w:rsid w:val="0000403F"/>
    <w:rsid w:val="00004885"/>
    <w:rsid w:val="00004D8C"/>
    <w:rsid w:val="00004DCB"/>
    <w:rsid w:val="000051F0"/>
    <w:rsid w:val="0000545A"/>
    <w:rsid w:val="0000553B"/>
    <w:rsid w:val="000063BC"/>
    <w:rsid w:val="00006780"/>
    <w:rsid w:val="00006C7A"/>
    <w:rsid w:val="00006CBD"/>
    <w:rsid w:val="00007495"/>
    <w:rsid w:val="0000792C"/>
    <w:rsid w:val="00007B4B"/>
    <w:rsid w:val="0001005E"/>
    <w:rsid w:val="000101EF"/>
    <w:rsid w:val="00010E97"/>
    <w:rsid w:val="00010FD1"/>
    <w:rsid w:val="0001117C"/>
    <w:rsid w:val="00012021"/>
    <w:rsid w:val="00012134"/>
    <w:rsid w:val="000124D1"/>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6B0"/>
    <w:rsid w:val="00063F57"/>
    <w:rsid w:val="0006480B"/>
    <w:rsid w:val="00064A2B"/>
    <w:rsid w:val="00064B46"/>
    <w:rsid w:val="00065016"/>
    <w:rsid w:val="00065031"/>
    <w:rsid w:val="000653AD"/>
    <w:rsid w:val="00065439"/>
    <w:rsid w:val="0006549C"/>
    <w:rsid w:val="000659DD"/>
    <w:rsid w:val="00065D64"/>
    <w:rsid w:val="00065E0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4D7A"/>
    <w:rsid w:val="000752CD"/>
    <w:rsid w:val="00075680"/>
    <w:rsid w:val="00075999"/>
    <w:rsid w:val="00075AB6"/>
    <w:rsid w:val="00076408"/>
    <w:rsid w:val="0007661E"/>
    <w:rsid w:val="00076F1C"/>
    <w:rsid w:val="00077073"/>
    <w:rsid w:val="0007782E"/>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5AA6"/>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546F"/>
    <w:rsid w:val="000B6030"/>
    <w:rsid w:val="000B62E5"/>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528"/>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4ED2"/>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07A"/>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C62"/>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4959"/>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56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5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037"/>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51E"/>
    <w:rsid w:val="001E266E"/>
    <w:rsid w:val="001E2EEF"/>
    <w:rsid w:val="001E3188"/>
    <w:rsid w:val="001E31D1"/>
    <w:rsid w:val="001E32BE"/>
    <w:rsid w:val="001E3A45"/>
    <w:rsid w:val="001E420B"/>
    <w:rsid w:val="001E4704"/>
    <w:rsid w:val="001E5151"/>
    <w:rsid w:val="001E5BB2"/>
    <w:rsid w:val="001E5D1F"/>
    <w:rsid w:val="001E6313"/>
    <w:rsid w:val="001E6BDA"/>
    <w:rsid w:val="001E6BDC"/>
    <w:rsid w:val="001E6C1B"/>
    <w:rsid w:val="001E7173"/>
    <w:rsid w:val="001E719A"/>
    <w:rsid w:val="001E71D8"/>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0EF5"/>
    <w:rsid w:val="00201428"/>
    <w:rsid w:val="0020142D"/>
    <w:rsid w:val="00201446"/>
    <w:rsid w:val="00201488"/>
    <w:rsid w:val="002014BF"/>
    <w:rsid w:val="002016C0"/>
    <w:rsid w:val="00201A5F"/>
    <w:rsid w:val="00201B59"/>
    <w:rsid w:val="00201DEC"/>
    <w:rsid w:val="002024E6"/>
    <w:rsid w:val="00202D2E"/>
    <w:rsid w:val="00203159"/>
    <w:rsid w:val="0020399F"/>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89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63"/>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0EC3"/>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0BC"/>
    <w:rsid w:val="00266111"/>
    <w:rsid w:val="00266210"/>
    <w:rsid w:val="002664FA"/>
    <w:rsid w:val="00266867"/>
    <w:rsid w:val="00266CA3"/>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B6"/>
    <w:rsid w:val="002832E7"/>
    <w:rsid w:val="00284E7F"/>
    <w:rsid w:val="0028550D"/>
    <w:rsid w:val="00285520"/>
    <w:rsid w:val="00285894"/>
    <w:rsid w:val="00285E28"/>
    <w:rsid w:val="00286631"/>
    <w:rsid w:val="00286B84"/>
    <w:rsid w:val="00286F76"/>
    <w:rsid w:val="00287141"/>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61E0"/>
    <w:rsid w:val="002C61E6"/>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3F2A"/>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E7"/>
    <w:rsid w:val="00302EDE"/>
    <w:rsid w:val="00302FEF"/>
    <w:rsid w:val="0030312B"/>
    <w:rsid w:val="0030318E"/>
    <w:rsid w:val="00303939"/>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121"/>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87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749"/>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228"/>
    <w:rsid w:val="00365644"/>
    <w:rsid w:val="0036590C"/>
    <w:rsid w:val="00365FB4"/>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4A5"/>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286"/>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718"/>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5C50"/>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348A"/>
    <w:rsid w:val="003F4193"/>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CB7"/>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ADC"/>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4AB"/>
    <w:rsid w:val="00483D11"/>
    <w:rsid w:val="00483D20"/>
    <w:rsid w:val="0048406D"/>
    <w:rsid w:val="0048476E"/>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825"/>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4FC"/>
    <w:rsid w:val="004C566C"/>
    <w:rsid w:val="004C5C44"/>
    <w:rsid w:val="004C5EF0"/>
    <w:rsid w:val="004C61BD"/>
    <w:rsid w:val="004C63D6"/>
    <w:rsid w:val="004C660B"/>
    <w:rsid w:val="004C7125"/>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2DF"/>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972"/>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A83"/>
    <w:rsid w:val="00547AC6"/>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3E65"/>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34B"/>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9A4"/>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CCE"/>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0AE"/>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BCF"/>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73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4A88"/>
    <w:rsid w:val="0073532A"/>
    <w:rsid w:val="00735CF5"/>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B8B"/>
    <w:rsid w:val="00755D41"/>
    <w:rsid w:val="00755E06"/>
    <w:rsid w:val="00755EB1"/>
    <w:rsid w:val="00755F8B"/>
    <w:rsid w:val="007565E2"/>
    <w:rsid w:val="00756F15"/>
    <w:rsid w:val="00756F1E"/>
    <w:rsid w:val="007572E9"/>
    <w:rsid w:val="00757A61"/>
    <w:rsid w:val="00757C04"/>
    <w:rsid w:val="00757CD9"/>
    <w:rsid w:val="00757E8E"/>
    <w:rsid w:val="00757FE8"/>
    <w:rsid w:val="007600CF"/>
    <w:rsid w:val="0076015A"/>
    <w:rsid w:val="0076031F"/>
    <w:rsid w:val="007604B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629"/>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228"/>
    <w:rsid w:val="00810DE9"/>
    <w:rsid w:val="00810EAE"/>
    <w:rsid w:val="00811036"/>
    <w:rsid w:val="00812027"/>
    <w:rsid w:val="008123D5"/>
    <w:rsid w:val="008124FE"/>
    <w:rsid w:val="008127B0"/>
    <w:rsid w:val="00812FE3"/>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25"/>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C18"/>
    <w:rsid w:val="00832CAF"/>
    <w:rsid w:val="0083311A"/>
    <w:rsid w:val="008333BB"/>
    <w:rsid w:val="0083417A"/>
    <w:rsid w:val="00834512"/>
    <w:rsid w:val="008349E7"/>
    <w:rsid w:val="0083502E"/>
    <w:rsid w:val="008350E9"/>
    <w:rsid w:val="00835B82"/>
    <w:rsid w:val="00836133"/>
    <w:rsid w:val="00836334"/>
    <w:rsid w:val="0083657B"/>
    <w:rsid w:val="008365CF"/>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37"/>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58"/>
    <w:rsid w:val="008C76D5"/>
    <w:rsid w:val="008C7F77"/>
    <w:rsid w:val="008D0459"/>
    <w:rsid w:val="008D05D2"/>
    <w:rsid w:val="008D069D"/>
    <w:rsid w:val="008D0A7A"/>
    <w:rsid w:val="008D0B27"/>
    <w:rsid w:val="008D105E"/>
    <w:rsid w:val="008D1376"/>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602"/>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D05"/>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276"/>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8F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3C61"/>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3D2"/>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92E"/>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6A8A"/>
    <w:rsid w:val="009B6B78"/>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AB0"/>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53"/>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3E"/>
    <w:rsid w:val="009F17B6"/>
    <w:rsid w:val="009F187B"/>
    <w:rsid w:val="009F1933"/>
    <w:rsid w:val="009F2A7A"/>
    <w:rsid w:val="009F2A94"/>
    <w:rsid w:val="009F2AAF"/>
    <w:rsid w:val="009F2E7E"/>
    <w:rsid w:val="009F3A4B"/>
    <w:rsid w:val="009F4196"/>
    <w:rsid w:val="009F41E1"/>
    <w:rsid w:val="009F4375"/>
    <w:rsid w:val="009F4772"/>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BA7"/>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221B"/>
    <w:rsid w:val="00A82508"/>
    <w:rsid w:val="00A827FC"/>
    <w:rsid w:val="00A82C1E"/>
    <w:rsid w:val="00A831F0"/>
    <w:rsid w:val="00A83309"/>
    <w:rsid w:val="00A83BF1"/>
    <w:rsid w:val="00A83CA0"/>
    <w:rsid w:val="00A84298"/>
    <w:rsid w:val="00A844CE"/>
    <w:rsid w:val="00A84EBF"/>
    <w:rsid w:val="00A85237"/>
    <w:rsid w:val="00A8523D"/>
    <w:rsid w:val="00A85661"/>
    <w:rsid w:val="00A85ABB"/>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6F9B"/>
    <w:rsid w:val="00A9727C"/>
    <w:rsid w:val="00A97666"/>
    <w:rsid w:val="00A97B8C"/>
    <w:rsid w:val="00A97DBD"/>
    <w:rsid w:val="00A97EF9"/>
    <w:rsid w:val="00AA0003"/>
    <w:rsid w:val="00AA0D9A"/>
    <w:rsid w:val="00AA1264"/>
    <w:rsid w:val="00AA158B"/>
    <w:rsid w:val="00AA1740"/>
    <w:rsid w:val="00AA1D12"/>
    <w:rsid w:val="00AA1EEC"/>
    <w:rsid w:val="00AA210C"/>
    <w:rsid w:val="00AA24E0"/>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E1"/>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0F17"/>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5E1"/>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5D84"/>
    <w:rsid w:val="00B66454"/>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134"/>
    <w:rsid w:val="00BF02E6"/>
    <w:rsid w:val="00BF0A66"/>
    <w:rsid w:val="00BF10D2"/>
    <w:rsid w:val="00BF10D6"/>
    <w:rsid w:val="00BF1185"/>
    <w:rsid w:val="00BF120B"/>
    <w:rsid w:val="00BF1309"/>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C9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98E"/>
    <w:rsid w:val="00C81B30"/>
    <w:rsid w:val="00C8220B"/>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06"/>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606C"/>
    <w:rsid w:val="00CC6083"/>
    <w:rsid w:val="00CC620F"/>
    <w:rsid w:val="00CC728B"/>
    <w:rsid w:val="00CC7356"/>
    <w:rsid w:val="00CC74D5"/>
    <w:rsid w:val="00CC7A6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95"/>
    <w:rsid w:val="00CD3C3B"/>
    <w:rsid w:val="00CD3D0C"/>
    <w:rsid w:val="00CD3D4B"/>
    <w:rsid w:val="00CD3F09"/>
    <w:rsid w:val="00CD3FAF"/>
    <w:rsid w:val="00CD492B"/>
    <w:rsid w:val="00CD4FA2"/>
    <w:rsid w:val="00CD5ADA"/>
    <w:rsid w:val="00CD5C02"/>
    <w:rsid w:val="00CD5F80"/>
    <w:rsid w:val="00CD61E3"/>
    <w:rsid w:val="00CD6823"/>
    <w:rsid w:val="00CD6D63"/>
    <w:rsid w:val="00CD6E0B"/>
    <w:rsid w:val="00CD7378"/>
    <w:rsid w:val="00CD7722"/>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7B"/>
    <w:rsid w:val="00D344C9"/>
    <w:rsid w:val="00D358B2"/>
    <w:rsid w:val="00D359BB"/>
    <w:rsid w:val="00D35FCC"/>
    <w:rsid w:val="00D3609F"/>
    <w:rsid w:val="00D3610A"/>
    <w:rsid w:val="00D366C8"/>
    <w:rsid w:val="00D368C6"/>
    <w:rsid w:val="00D36C8E"/>
    <w:rsid w:val="00D36D5A"/>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399"/>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09D"/>
    <w:rsid w:val="00D56330"/>
    <w:rsid w:val="00D563C2"/>
    <w:rsid w:val="00D56810"/>
    <w:rsid w:val="00D56C31"/>
    <w:rsid w:val="00D56D65"/>
    <w:rsid w:val="00D572B2"/>
    <w:rsid w:val="00D57AC0"/>
    <w:rsid w:val="00D57C20"/>
    <w:rsid w:val="00D57F0A"/>
    <w:rsid w:val="00D60207"/>
    <w:rsid w:val="00D6033A"/>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126"/>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5ABF"/>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AA3"/>
    <w:rsid w:val="00DA7BC7"/>
    <w:rsid w:val="00DA7E4C"/>
    <w:rsid w:val="00DA7EC1"/>
    <w:rsid w:val="00DB0564"/>
    <w:rsid w:val="00DB089F"/>
    <w:rsid w:val="00DB0D5D"/>
    <w:rsid w:val="00DB1539"/>
    <w:rsid w:val="00DB1814"/>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D0"/>
    <w:rsid w:val="00DD128A"/>
    <w:rsid w:val="00DD12B1"/>
    <w:rsid w:val="00DD12B5"/>
    <w:rsid w:val="00DD18BD"/>
    <w:rsid w:val="00DD1947"/>
    <w:rsid w:val="00DD1E75"/>
    <w:rsid w:val="00DD1ED7"/>
    <w:rsid w:val="00DD1F9B"/>
    <w:rsid w:val="00DD242B"/>
    <w:rsid w:val="00DD2FE5"/>
    <w:rsid w:val="00DD32DF"/>
    <w:rsid w:val="00DD3401"/>
    <w:rsid w:val="00DD3430"/>
    <w:rsid w:val="00DD3480"/>
    <w:rsid w:val="00DD3565"/>
    <w:rsid w:val="00DD49D3"/>
    <w:rsid w:val="00DD59AB"/>
    <w:rsid w:val="00DD5FFE"/>
    <w:rsid w:val="00DD632F"/>
    <w:rsid w:val="00DD6396"/>
    <w:rsid w:val="00DD667E"/>
    <w:rsid w:val="00DD6C70"/>
    <w:rsid w:val="00DD6DA2"/>
    <w:rsid w:val="00DD761C"/>
    <w:rsid w:val="00DD7DD8"/>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18C4"/>
    <w:rsid w:val="00E222C6"/>
    <w:rsid w:val="00E22361"/>
    <w:rsid w:val="00E224C9"/>
    <w:rsid w:val="00E22625"/>
    <w:rsid w:val="00E229F7"/>
    <w:rsid w:val="00E22A10"/>
    <w:rsid w:val="00E22BF5"/>
    <w:rsid w:val="00E22E2F"/>
    <w:rsid w:val="00E22EE3"/>
    <w:rsid w:val="00E23224"/>
    <w:rsid w:val="00E23467"/>
    <w:rsid w:val="00E23851"/>
    <w:rsid w:val="00E23ACC"/>
    <w:rsid w:val="00E23ADB"/>
    <w:rsid w:val="00E24553"/>
    <w:rsid w:val="00E24A0A"/>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200D"/>
    <w:rsid w:val="00E3278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CCB"/>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976"/>
    <w:rsid w:val="00EA4A36"/>
    <w:rsid w:val="00EA5029"/>
    <w:rsid w:val="00EA5335"/>
    <w:rsid w:val="00EA630B"/>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848"/>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CE"/>
    <w:rsid w:val="00F0301D"/>
    <w:rsid w:val="00F032DF"/>
    <w:rsid w:val="00F0372A"/>
    <w:rsid w:val="00F0388F"/>
    <w:rsid w:val="00F03891"/>
    <w:rsid w:val="00F046FD"/>
    <w:rsid w:val="00F04D51"/>
    <w:rsid w:val="00F05046"/>
    <w:rsid w:val="00F05E12"/>
    <w:rsid w:val="00F05EED"/>
    <w:rsid w:val="00F06F02"/>
    <w:rsid w:val="00F10437"/>
    <w:rsid w:val="00F10465"/>
    <w:rsid w:val="00F10864"/>
    <w:rsid w:val="00F1165E"/>
    <w:rsid w:val="00F11CF5"/>
    <w:rsid w:val="00F12B3D"/>
    <w:rsid w:val="00F13242"/>
    <w:rsid w:val="00F1403E"/>
    <w:rsid w:val="00F140FE"/>
    <w:rsid w:val="00F1415B"/>
    <w:rsid w:val="00F144AC"/>
    <w:rsid w:val="00F14FB4"/>
    <w:rsid w:val="00F165FF"/>
    <w:rsid w:val="00F16BB1"/>
    <w:rsid w:val="00F17183"/>
    <w:rsid w:val="00F17A8F"/>
    <w:rsid w:val="00F17D56"/>
    <w:rsid w:val="00F20046"/>
    <w:rsid w:val="00F20199"/>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C4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BC0"/>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57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9A8"/>
    <w:rsid w:val="00FB5A6F"/>
    <w:rsid w:val="00FB67CA"/>
    <w:rsid w:val="00FB7284"/>
    <w:rsid w:val="00FB72CB"/>
    <w:rsid w:val="00FB77BB"/>
    <w:rsid w:val="00FB7C38"/>
    <w:rsid w:val="00FB7CE9"/>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C67"/>
    <w:rsid w:val="00FD235B"/>
    <w:rsid w:val="00FD2804"/>
    <w:rsid w:val="00FD282A"/>
    <w:rsid w:val="00FD2A71"/>
    <w:rsid w:val="00FD3124"/>
    <w:rsid w:val="00FD3905"/>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7035341">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3986022">
      <w:bodyDiv w:val="1"/>
      <w:marLeft w:val="0"/>
      <w:marRight w:val="0"/>
      <w:marTop w:val="0"/>
      <w:marBottom w:val="0"/>
      <w:divBdr>
        <w:top w:val="none" w:sz="0" w:space="0" w:color="auto"/>
        <w:left w:val="none" w:sz="0" w:space="0" w:color="auto"/>
        <w:bottom w:val="none" w:sz="0" w:space="0" w:color="auto"/>
        <w:right w:val="none" w:sz="0" w:space="0" w:color="auto"/>
      </w:divBdr>
      <w:divsChild>
        <w:div w:id="172889079">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HR33RHYHUWRF-4-2231</_dlc_DocId>
    <_dlc_DocIdUrl xmlns="c06861ca-3f08-4d07-bff7-bb15bac121f4">
      <Url>https://projects.qualcomm.com/sites/pentari/_layouts/15/DocIdRedir.aspx?ID=HR33RHYHUWRF-4-2231</Url>
      <Description>HR33RHYHUWRF-4-2231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9B50AB72-40AB-4AA4-9E45-D6E769F39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6</Pages>
  <Words>2707</Words>
  <Characters>15434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18105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Haitong</cp:lastModifiedBy>
  <cp:revision>86</cp:revision>
  <cp:lastPrinted>2014-11-07T05:38:00Z</cp:lastPrinted>
  <dcterms:created xsi:type="dcterms:W3CDTF">2017-01-10T04:30:00Z</dcterms:created>
  <dcterms:modified xsi:type="dcterms:W3CDTF">2017-03-25T04:30:00Z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20bd1c10-81de-4fb7-88c3-c6c9862c7ade</vt:lpwstr>
  </property>
</Properties>
</file>